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080"/>
        <w:jc w:val="center"/>
      </w:pPr>
      <w:r>
        <w:rPr>
          <w:b/>
          <w:color w:val="1F4E78"/>
          <w:sz w:val="24"/>
        </w:rPr>
        <w:t>GLOBAL COMMUNITY COLLEGE ALLIANCE</w:t>
      </w:r>
    </w:p>
    <w:p>
      <w:pPr>
        <w:spacing w:before="680"/>
        <w:jc w:val="center"/>
      </w:pPr>
      <w:r>
        <w:rPr>
          <w:rFonts w:eastAsia="微软雅黑"/>
          <w:b/>
          <w:color w:val="17365D"/>
          <w:sz w:val="60"/>
        </w:rPr>
        <w:t>中美国际护理英才计划</w:t>
      </w:r>
    </w:p>
    <w:p>
      <w:pPr>
        <w:jc w:val="center"/>
      </w:pPr>
      <w:r>
        <w:rPr>
          <w:b/>
          <w:color w:val="1F4E78"/>
          <w:sz w:val="56"/>
        </w:rPr>
        <w:t>NTP 项目白皮书</w:t>
      </w:r>
    </w:p>
    <w:p>
      <w:pPr>
        <w:spacing w:before="160"/>
        <w:jc w:val="center"/>
      </w:pPr>
      <w:r>
        <w:rPr>
          <w:color w:val="5B6573"/>
          <w:sz w:val="26"/>
        </w:rPr>
        <w:t>CHINA–U.S. INTERNATIONAL NURSING TALENT PROGRAM</w:t>
      </w:r>
    </w:p>
    <w:tbl>
      <w:tblPr>
        <w:tblW w:type="auto" w:w="0"/>
        <w:jc w:val="center"/>
        <w:tblLayout w:type="fixed"/>
        <w:tblLook w:firstColumn="1" w:firstRow="1" w:lastColumn="0" w:lastRow="0" w:noHBand="0" w:noVBand="1" w:val="04A0"/>
      </w:tblPr>
      <w:tblGrid>
        <w:gridCol w:w="9216"/>
      </w:tblGrid>
      <w:tr>
        <w:tc>
          <w:tcPr>
            <w:tcW w:type="dxa" w:w="10080"/>
            <w:shd w:fill="D9EAF7"/>
            <w:vAlign w:val="center"/>
            <w:tcMar>
              <w:top w:w="90" w:type="dxa"/>
              <w:start w:w="120" w:type="dxa"/>
              <w:bottom w:w="90" w:type="dxa"/>
              <w:end w:w="120" w:type="dxa"/>
            </w:tcMar>
          </w:tcPr>
          <w:p>
            <w:pPr>
              <w:jc w:val="center"/>
            </w:pPr>
            <w:r/>
            <w:r>
              <w:rPr>
                <w:rFonts w:ascii="Aptos" w:hAnsi="Aptos" w:eastAsia="微软雅黑"/>
                <w:b/>
                <w:color w:val="17365D"/>
                <w:sz w:val="26"/>
              </w:rPr>
              <w:t>教育培养 · 执业成长 · 全球视野 · 资源连接 · 长期发展</w:t>
            </w:r>
          </w:p>
        </w:tc>
      </w:tr>
    </w:tbl>
    <w:p>
      <w:pPr>
        <w:spacing w:before="1100"/>
        <w:jc w:val="center"/>
      </w:pPr>
      <w:r>
        <w:rPr>
          <w:b/>
          <w:color w:val="C9A227"/>
          <w:sz w:val="30"/>
        </w:rPr>
        <w:t>项目战略总纲与实施框架</w:t>
      </w:r>
    </w:p>
    <w:p>
      <w:pPr>
        <w:spacing w:before="840"/>
        <w:jc w:val="center"/>
      </w:pPr>
      <w:r>
        <w:rPr>
          <w:sz w:val="22"/>
        </w:rPr>
        <w:t>Global Community College Alliance (GCCA)</w:t>
        <w:br/>
        <w:t>2026</w:t>
      </w:r>
    </w:p>
    <w:p>
      <w:r>
        <w:br w:type="page"/>
      </w:r>
    </w:p>
    <w:p>
      <w:pPr>
        <w:pStyle w:val="Heading1"/>
      </w:pPr>
      <w:r>
        <w:t>白皮书说明</w:t>
      </w:r>
    </w:p>
    <w:p>
      <w:r>
        <w:t>本白皮书将NTP项目的项目背景、培养路径、学生支持、全球职业发展视野、GCCA资源平台规划、合作机制与合规边界统一整合，作为项目对外介绍、院校合作、机构沟通和内部实施的综合性文件。</w:t>
      </w:r>
    </w:p>
    <w:tbl>
      <w:tblPr>
        <w:tblW w:type="auto" w:w="0"/>
        <w:jc w:val="center"/>
        <w:tblLook w:firstColumn="1" w:firstRow="1" w:lastColumn="0" w:lastRow="0" w:noHBand="0" w:noVBand="1" w:val="04A0"/>
      </w:tblPr>
      <w:tblGrid>
        <w:gridCol w:w="10080"/>
      </w:tblGrid>
      <w:tr>
        <w:tc>
          <w:tcPr>
            <w:tcW w:type="dxa" w:w="10080"/>
            <w:shd w:fill="F2F4F7"/>
            <w:vAlign w:val="center"/>
            <w:tcMar>
              <w:top w:w="90" w:type="dxa"/>
              <w:start w:w="120" w:type="dxa"/>
              <w:bottom w:w="90" w:type="dxa"/>
              <w:end w:w="120" w:type="dxa"/>
            </w:tcMar>
          </w:tcPr>
          <w:p>
            <w:pPr>
              <w:jc w:val="left"/>
            </w:pPr>
            <w:r/>
            <w:r>
              <w:rPr>
                <w:rFonts w:ascii="Aptos" w:hAnsi="Aptos" w:eastAsia="微软雅黑"/>
                <w:b/>
                <w:color w:val="17365D"/>
                <w:sz w:val="21"/>
              </w:rPr>
              <w:t>重要说明：NTP项目的核心是教育培养、学术支持、职业发展信息与国际资源连接。项目不承诺录取、签证、就业、薪资、移民或任何执业结果；相关事项均以学校、考试机构、监管部门及所在国家和地区的法律法规与官方要求为准。</w:t>
            </w:r>
          </w:p>
        </w:tc>
      </w:tr>
    </w:tbl>
    <w:p>
      <w:pPr>
        <w:pStyle w:val="Heading2"/>
      </w:pPr>
      <w:r>
        <w:t>核心定位</w:t>
      </w:r>
    </w:p>
    <w:p>
      <w:r>
        <w:t>NTP不是单一的留学申请服务，也不是就业安排项目，而是一套围绕护理人才长期成长构建的国际化培养与资源支持体系。项目以美国社区大学护理教育为重要路径，以GCCA全球学术与职业发展资源平台为战略支撑，帮助学生建立清晰的学习路径、专业能力、执业认知和面向全球的职业发展视野。</w:t>
      </w:r>
    </w:p>
    <w:p>
      <w:pPr>
        <w:pStyle w:val="Heading1"/>
      </w:pPr>
      <w:r>
        <w:t>目录</w:t>
      </w:r>
    </w:p>
    <w:p>
      <w:pPr>
        <w:pStyle w:val="ListBullet"/>
      </w:pPr>
      <w:r>
        <w:t>第一章  项目背景与战略定位</w:t>
      </w:r>
    </w:p>
    <w:p>
      <w:pPr>
        <w:pStyle w:val="ListBullet"/>
      </w:pPr>
      <w:r>
        <w:t>第二章  项目使命、愿景与培养目标</w:t>
      </w:r>
    </w:p>
    <w:p>
      <w:pPr>
        <w:pStyle w:val="ListBullet"/>
      </w:pPr>
      <w:r>
        <w:t>第三章  NTP整体培养体系</w:t>
      </w:r>
    </w:p>
    <w:p>
      <w:pPr>
        <w:pStyle w:val="ListBullet"/>
      </w:pPr>
      <w:r>
        <w:t>第四章  GCCA联盟特色班（ACP）培养模式</w:t>
      </w:r>
    </w:p>
    <w:p>
      <w:pPr>
        <w:pStyle w:val="ListBullet"/>
      </w:pPr>
      <w:r>
        <w:t>第五章  护理学术与执业成长路径</w:t>
      </w:r>
    </w:p>
    <w:p>
      <w:pPr>
        <w:pStyle w:val="ListBullet"/>
      </w:pPr>
      <w:r>
        <w:t>第六章  学生全周期支持体系</w:t>
      </w:r>
    </w:p>
    <w:p>
      <w:pPr>
        <w:pStyle w:val="ListBullet"/>
      </w:pPr>
      <w:r>
        <w:t>第七章  美国RN与全球职业发展视野</w:t>
      </w:r>
    </w:p>
    <w:p>
      <w:pPr>
        <w:pStyle w:val="ListBullet"/>
      </w:pPr>
      <w:r>
        <w:t>第八章  GCCA全球学术与职业发展资源平台</w:t>
      </w:r>
    </w:p>
    <w:p>
      <w:pPr>
        <w:pStyle w:val="ListBullet"/>
      </w:pPr>
      <w:r>
        <w:t>第九章  数字资源平台与功能规划</w:t>
      </w:r>
    </w:p>
    <w:p>
      <w:pPr>
        <w:pStyle w:val="ListBullet"/>
      </w:pPr>
      <w:r>
        <w:t>第十章  院校、机构与产业协同机制</w:t>
      </w:r>
    </w:p>
    <w:p>
      <w:pPr>
        <w:pStyle w:val="ListBullet"/>
      </w:pPr>
      <w:r>
        <w:t>第十一章  项目核心优势</w:t>
      </w:r>
    </w:p>
    <w:p>
      <w:pPr>
        <w:pStyle w:val="ListBullet"/>
      </w:pPr>
      <w:r>
        <w:t>第十二章  合规原则与服务边界</w:t>
      </w:r>
    </w:p>
    <w:p>
      <w:pPr>
        <w:pStyle w:val="ListBullet"/>
      </w:pPr>
      <w:r>
        <w:t>第十三章  分阶段实施与长期发展规划</w:t>
      </w:r>
    </w:p>
    <w:p>
      <w:pPr>
        <w:pStyle w:val="ListBullet"/>
      </w:pPr>
      <w:r>
        <w:t>结语</w:t>
      </w:r>
    </w:p>
    <w:p>
      <w:r>
        <w:br w:type="page"/>
      </w:r>
    </w:p>
    <w:p>
      <w:pPr>
        <w:pStyle w:val="Heading1"/>
      </w:pPr>
      <w:r>
        <w:t>第一章  项目背景与战略定位</w:t>
      </w:r>
    </w:p>
    <w:p>
      <w:pPr>
        <w:pStyle w:val="Heading2"/>
      </w:pPr>
      <w:r>
        <w:t>1.1 时代背景</w:t>
      </w:r>
    </w:p>
    <w:p>
      <w:r>
        <w:t>人口结构变化、医疗健康需求增长、护理服务模式升级以及专业人才跨区域流动，使护理成为具有长期社会价值和职业韧性的专业方向。与此同时，护理人才培养不再只关注取得某一阶段学历，而更加重视语言能力、临床能力、执业资格、继续教育与长期职业成长。</w:t>
      </w:r>
    </w:p>
    <w:p>
      <w:pPr>
        <w:pStyle w:val="Heading2"/>
      </w:pPr>
      <w:r>
        <w:t>1.2 项目发起逻辑</w:t>
      </w:r>
    </w:p>
    <w:p>
      <w:r>
        <w:t>GCCA依托美国社区大学应用型教育体系和国际合作资源，发起中美国际护理英才计划（NTP），希望为国内职业院校、教育合作机构及有志于护理事业的学生建立一条更清晰、更可规划、更具持续性的国际护理人才成长路径。</w:t>
      </w:r>
    </w:p>
    <w:p>
      <w:pPr>
        <w:pStyle w:val="Heading2"/>
      </w:pPr>
      <w:r>
        <w:t>1.3 战略定位</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国际护理人才培养项目</w:t>
              <w:br/>
            </w:r>
            <w:r>
              <w:rPr>
                <w:rFonts w:eastAsia="微软雅黑"/>
                <w:color w:val="243447"/>
                <w:sz w:val="19"/>
              </w:rPr>
              <w:t>连接国内准备阶段、美国社区大学护理教育、执业考试认知、学历提升与长期专业成长。</w:t>
            </w:r>
          </w:p>
        </w:tc>
        <w:tc>
          <w:tcPr>
            <w:tcW w:type="dxa" w:w="5040"/>
            <w:shd w:fill="F2F4F7"/>
            <w:tcMar>
              <w:top w:w="130" w:type="dxa"/>
              <w:start w:w="150" w:type="dxa"/>
              <w:bottom w:w="130" w:type="dxa"/>
              <w:end w:w="150" w:type="dxa"/>
            </w:tcMar>
          </w:tcPr>
          <w:p>
            <w:pPr>
              <w:jc w:val="left"/>
            </w:pPr>
            <w:r/>
            <w:r>
              <w:rPr>
                <w:rFonts w:eastAsia="微软雅黑"/>
                <w:b/>
                <w:color w:val="17365D"/>
                <w:sz w:val="22"/>
              </w:rPr>
              <w:t>学术与职业发展项目</w:t>
              <w:br/>
            </w:r>
            <w:r>
              <w:rPr>
                <w:rFonts w:eastAsia="微软雅黑"/>
                <w:color w:val="243447"/>
                <w:sz w:val="19"/>
              </w:rPr>
              <w:t>既重视课程、学分和学历发展，也重视行业认知、执业信息和职业规划能力。</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全球资源连接项目</w:t>
              <w:br/>
            </w:r>
            <w:r>
              <w:rPr>
                <w:rFonts w:eastAsia="微软雅黑"/>
                <w:color w:val="243447"/>
                <w:sz w:val="19"/>
              </w:rPr>
              <w:t>通过GCCA平台汇聚各国家和地区公开的教育、资格、行业和发展信息，为学生提供更多选择渠道。</w:t>
            </w:r>
          </w:p>
        </w:tc>
        <w:tc>
          <w:tcPr>
            <w:tcW w:type="dxa" w:w="5040"/>
            <w:shd w:fill="F2F4F7"/>
            <w:tcMar>
              <w:top w:w="130" w:type="dxa"/>
              <w:start w:w="150" w:type="dxa"/>
              <w:bottom w:w="130" w:type="dxa"/>
              <w:end w:w="150" w:type="dxa"/>
            </w:tcMar>
          </w:tcPr>
          <w:p>
            <w:pPr>
              <w:jc w:val="left"/>
            </w:pPr>
            <w:r/>
            <w:r>
              <w:rPr>
                <w:rFonts w:eastAsia="微软雅黑"/>
                <w:b/>
                <w:color w:val="17365D"/>
                <w:sz w:val="22"/>
              </w:rPr>
              <w:t>长期成长支持项目</w:t>
              <w:br/>
            </w:r>
            <w:r>
              <w:rPr>
                <w:rFonts w:eastAsia="微软雅黑"/>
                <w:color w:val="243447"/>
                <w:sz w:val="19"/>
              </w:rPr>
              <w:t>从入学准备到学习适应、继续深造和校友发展，形成持续性的支持与陪伴。</w:t>
            </w:r>
          </w:p>
        </w:tc>
      </w:tr>
    </w:tbl>
    <w:p/>
    <w:p>
      <w:pPr>
        <w:pStyle w:val="QuoteBox"/>
      </w:pPr>
      <w:r>
        <w:t>项目总体定位：以教育培养为核心，以学生成长为中心，以国际资源连接为支撑，构建“国内准备—美国学习—执业成长—学历提升—全球视野—终身发展”的国际护理人才培养体系。</w:t>
      </w:r>
    </w:p>
    <w:p>
      <w:r>
        <w:br w:type="page"/>
      </w:r>
    </w:p>
    <w:p>
      <w:pPr>
        <w:pStyle w:val="Heading1"/>
      </w:pPr>
      <w:r>
        <w:t>第二章  项目使命、愿景与培养目标</w:t>
      </w:r>
    </w:p>
    <w:p>
      <w:pPr>
        <w:pStyle w:val="Heading2"/>
      </w:pPr>
      <w:r>
        <w:t>2.1 项目使命</w:t>
      </w:r>
    </w:p>
    <w:p>
      <w:r>
        <w:t>融通中美护理教育资源，培养具有专业能力、国际视野、跨文化沟通能力和持续学习能力的护理人才。</w:t>
      </w:r>
    </w:p>
    <w:p>
      <w:pPr>
        <w:pStyle w:val="Heading2"/>
      </w:pPr>
      <w:r>
        <w:t>2.2 项目愿景</w:t>
      </w:r>
    </w:p>
    <w:p>
      <w:r>
        <w:t>建设具有国际连接能力的护理人才培养与发展平台，让更多学生能够以清晰、规范、可持续的路径进入护理专业，并在未来拥有多元的学术与职业选择。</w:t>
      </w:r>
    </w:p>
    <w:p>
      <w:pPr>
        <w:pStyle w:val="Heading2"/>
      </w:pPr>
      <w:r>
        <w:t>2.3 培养目标</w:t>
      </w:r>
    </w:p>
    <w:p>
      <w:pPr>
        <w:pStyle w:val="ListBullet"/>
      </w:pPr>
      <w:r>
        <w:t>具备护理专业学习所需的语言、通识与基础课程能力；</w:t>
      </w:r>
    </w:p>
    <w:p>
      <w:pPr>
        <w:pStyle w:val="ListBullet"/>
      </w:pPr>
      <w:r>
        <w:t>理解美国护理教育体系、临床要求和执业资格路径；</w:t>
      </w:r>
    </w:p>
    <w:p>
      <w:pPr>
        <w:pStyle w:val="ListBullet"/>
      </w:pPr>
      <w:r>
        <w:t>形成以患者安全、职业伦理和专业责任为核心的护理素养；</w:t>
      </w:r>
    </w:p>
    <w:p>
      <w:pPr>
        <w:pStyle w:val="ListBullet"/>
      </w:pPr>
      <w:r>
        <w:t>具备跨文化沟通、团队协作和持续学习能力；</w:t>
      </w:r>
    </w:p>
    <w:p>
      <w:pPr>
        <w:pStyle w:val="ListBullet"/>
      </w:pPr>
      <w:r>
        <w:t>能够根据个人条件规划ADN、RN、BSN、MSN、NP等不同阶段的发展；</w:t>
      </w:r>
    </w:p>
    <w:p>
      <w:pPr>
        <w:pStyle w:val="ListBullet"/>
      </w:pPr>
      <w:r>
        <w:t>建立全球护理行业视野，能够自主获取并判断不同国家和地区的教育、注册及职业发展信息。</w:t>
      </w:r>
    </w:p>
    <w:p>
      <w:pPr>
        <w:pStyle w:val="Heading2"/>
      </w:pPr>
      <w:r>
        <w:t>2.4 项目核心理念</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路径清晰</w:t>
              <w:br/>
            </w:r>
            <w:r>
              <w:rPr>
                <w:rFonts w:eastAsia="微软雅黑"/>
                <w:color w:val="243447"/>
                <w:sz w:val="19"/>
              </w:rPr>
              <w:t>让学生知道从哪里开始、每一步需要什么、未来可以走向哪里。</w:t>
            </w:r>
          </w:p>
        </w:tc>
        <w:tc>
          <w:tcPr>
            <w:tcW w:type="dxa" w:w="5040"/>
            <w:shd w:fill="F2F4F7"/>
            <w:tcMar>
              <w:top w:w="130" w:type="dxa"/>
              <w:start w:w="150" w:type="dxa"/>
              <w:bottom w:w="130" w:type="dxa"/>
              <w:end w:w="150" w:type="dxa"/>
            </w:tcMar>
          </w:tcPr>
          <w:p>
            <w:pPr>
              <w:jc w:val="left"/>
            </w:pPr>
            <w:r/>
            <w:r>
              <w:rPr>
                <w:rFonts w:eastAsia="微软雅黑"/>
                <w:b/>
                <w:color w:val="17365D"/>
                <w:sz w:val="22"/>
              </w:rPr>
              <w:t>能力为本</w:t>
              <w:br/>
            </w:r>
            <w:r>
              <w:rPr>
                <w:rFonts w:eastAsia="微软雅黑"/>
                <w:color w:val="243447"/>
                <w:sz w:val="19"/>
              </w:rPr>
              <w:t>以语言、课程、临床、沟通和职业素养为核心，不以单一结果评价成长。</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合规运行</w:t>
              <w:br/>
            </w:r>
            <w:r>
              <w:rPr>
                <w:rFonts w:eastAsia="微软雅黑"/>
                <w:color w:val="243447"/>
                <w:sz w:val="19"/>
              </w:rPr>
              <w:t>坚持教育服务边界，不承诺录取、签证、就业、薪资、移民或执业结果。</w:t>
            </w:r>
          </w:p>
        </w:tc>
        <w:tc>
          <w:tcPr>
            <w:tcW w:type="dxa" w:w="5040"/>
            <w:shd w:fill="F2F4F7"/>
            <w:tcMar>
              <w:top w:w="130" w:type="dxa"/>
              <w:start w:w="150" w:type="dxa"/>
              <w:bottom w:w="130" w:type="dxa"/>
              <w:end w:w="150" w:type="dxa"/>
            </w:tcMar>
          </w:tcPr>
          <w:p>
            <w:pPr>
              <w:jc w:val="left"/>
            </w:pPr>
            <w:r/>
            <w:r>
              <w:rPr>
                <w:rFonts w:eastAsia="微软雅黑"/>
                <w:b/>
                <w:color w:val="17365D"/>
                <w:sz w:val="22"/>
              </w:rPr>
              <w:t>面向全球</w:t>
              <w:br/>
            </w:r>
            <w:r>
              <w:rPr>
                <w:rFonts w:eastAsia="微软雅黑"/>
                <w:color w:val="243447"/>
                <w:sz w:val="19"/>
              </w:rPr>
              <w:t>以美国护理教育为重要基础，同时帮助学生建立面向世界的长期发展视野。</w:t>
            </w:r>
          </w:p>
        </w:tc>
      </w:tr>
    </w:tbl>
    <w:p/>
    <w:p>
      <w:r>
        <w:br w:type="page"/>
      </w:r>
    </w:p>
    <w:p>
      <w:pPr>
        <w:pStyle w:val="Heading1"/>
      </w:pPr>
      <w:r>
        <w:t>第三章  NTP整体培养体系</w:t>
      </w:r>
    </w:p>
    <w:p>
      <w:pPr>
        <w:pStyle w:val="Heading2"/>
      </w:pPr>
      <w:r>
        <w:t>3.1 总体结构</w:t>
      </w:r>
    </w:p>
    <w:tbl>
      <w:tblPr>
        <w:tblW w:type="auto" w:w="0"/>
        <w:jc w:val="center"/>
        <w:tblLayout w:type="fixed"/>
        <w:tblLook w:firstColumn="1" w:firstRow="1" w:lastColumn="0" w:lastRow="0" w:noHBand="0" w:noVBand="1" w:val="04A0"/>
      </w:tblPr>
      <w:tblGrid>
        <w:gridCol w:w="2016"/>
        <w:gridCol w:w="2016"/>
        <w:gridCol w:w="2016"/>
        <w:gridCol w:w="2016"/>
        <w:gridCol w:w="2016"/>
      </w:tblGrid>
      <w:tr>
        <w:tc>
          <w:tcPr>
            <w:tcW w:type="dxa" w:w="2016"/>
            <w:shd w:fill="1F4E78"/>
            <w:vAlign w:val="center"/>
            <w:tcMar>
              <w:top w:w="90" w:type="dxa"/>
              <w:start w:w="120" w:type="dxa"/>
              <w:bottom w:w="90" w:type="dxa"/>
              <w:end w:w="120" w:type="dxa"/>
            </w:tcMar>
          </w:tcPr>
          <w:p>
            <w:pPr>
              <w:jc w:val="center"/>
            </w:pPr>
            <w:r/>
            <w:r>
              <w:rPr>
                <w:rFonts w:ascii="Aptos" w:hAnsi="Aptos" w:eastAsia="微软雅黑"/>
                <w:b/>
                <w:color w:val="FFFFFF"/>
                <w:sz w:val="20"/>
              </w:rPr>
              <w:t>国内准备阶段</w:t>
            </w:r>
          </w:p>
        </w:tc>
        <w:tc>
          <w:tcPr>
            <w:tcW w:type="dxa" w:w="2016"/>
            <w:shd w:fill="1F4E78"/>
            <w:vAlign w:val="center"/>
            <w:tcMar>
              <w:top w:w="90" w:type="dxa"/>
              <w:start w:w="120" w:type="dxa"/>
              <w:bottom w:w="90" w:type="dxa"/>
              <w:end w:w="120" w:type="dxa"/>
            </w:tcMar>
          </w:tcPr>
          <w:p>
            <w:pPr>
              <w:jc w:val="center"/>
            </w:pPr>
            <w:r/>
            <w:r>
              <w:rPr>
                <w:rFonts w:ascii="Aptos" w:hAnsi="Aptos" w:eastAsia="微软雅黑"/>
                <w:b/>
                <w:color w:val="FFFFFF"/>
                <w:sz w:val="20"/>
              </w:rPr>
              <w:t>美国社区大学阶段</w:t>
            </w:r>
          </w:p>
        </w:tc>
        <w:tc>
          <w:tcPr>
            <w:tcW w:type="dxa" w:w="2016"/>
            <w:shd w:fill="1F4E78"/>
            <w:vAlign w:val="center"/>
            <w:tcMar>
              <w:top w:w="90" w:type="dxa"/>
              <w:start w:w="120" w:type="dxa"/>
              <w:bottom w:w="90" w:type="dxa"/>
              <w:end w:w="120" w:type="dxa"/>
            </w:tcMar>
          </w:tcPr>
          <w:p>
            <w:pPr>
              <w:jc w:val="center"/>
            </w:pPr>
            <w:r/>
            <w:r>
              <w:rPr>
                <w:rFonts w:ascii="Aptos" w:hAnsi="Aptos" w:eastAsia="微软雅黑"/>
                <w:b/>
                <w:color w:val="FFFFFF"/>
                <w:sz w:val="20"/>
              </w:rPr>
              <w:t>执业成长阶段</w:t>
            </w:r>
          </w:p>
        </w:tc>
        <w:tc>
          <w:tcPr>
            <w:tcW w:type="dxa" w:w="2016"/>
            <w:shd w:fill="1F4E78"/>
            <w:vAlign w:val="center"/>
            <w:tcMar>
              <w:top w:w="90" w:type="dxa"/>
              <w:start w:w="120" w:type="dxa"/>
              <w:bottom w:w="90" w:type="dxa"/>
              <w:end w:w="120" w:type="dxa"/>
            </w:tcMar>
          </w:tcPr>
          <w:p>
            <w:pPr>
              <w:jc w:val="center"/>
            </w:pPr>
            <w:r/>
            <w:r>
              <w:rPr>
                <w:rFonts w:ascii="Aptos" w:hAnsi="Aptos" w:eastAsia="微软雅黑"/>
                <w:b/>
                <w:color w:val="FFFFFF"/>
                <w:sz w:val="20"/>
              </w:rPr>
              <w:t>学历提升阶段</w:t>
            </w:r>
          </w:p>
        </w:tc>
        <w:tc>
          <w:tcPr>
            <w:tcW w:type="dxa" w:w="2016"/>
            <w:shd w:fill="1F4E78"/>
            <w:vAlign w:val="center"/>
            <w:tcMar>
              <w:top w:w="90" w:type="dxa"/>
              <w:start w:w="120" w:type="dxa"/>
              <w:bottom w:w="90" w:type="dxa"/>
              <w:end w:w="120" w:type="dxa"/>
            </w:tcMar>
          </w:tcPr>
          <w:p>
            <w:pPr>
              <w:jc w:val="center"/>
            </w:pPr>
            <w:r/>
            <w:r>
              <w:rPr>
                <w:rFonts w:ascii="Aptos" w:hAnsi="Aptos" w:eastAsia="微软雅黑"/>
                <w:b/>
                <w:color w:val="FFFFFF"/>
                <w:sz w:val="20"/>
              </w:rPr>
              <w:t>全球发展阶段</w:t>
            </w:r>
          </w:p>
        </w:tc>
      </w:tr>
      <w:tr>
        <w:tc>
          <w:tcPr>
            <w:tcW w:type="dxa" w:w="2016"/>
            <w:shd w:fill="D9EAF7"/>
            <w:vAlign w:val="center"/>
            <w:tcMar>
              <w:top w:w="90" w:type="dxa"/>
              <w:start w:w="120" w:type="dxa"/>
              <w:bottom w:w="90" w:type="dxa"/>
              <w:end w:w="120" w:type="dxa"/>
            </w:tcMar>
          </w:tcPr>
          <w:p>
            <w:pPr>
              <w:jc w:val="center"/>
            </w:pPr>
            <w:r/>
            <w:r>
              <w:rPr>
                <w:rFonts w:ascii="Aptos" w:hAnsi="Aptos" w:eastAsia="微软雅黑"/>
                <w:b w:val="0"/>
                <w:color w:val="243447"/>
                <w:sz w:val="18"/>
              </w:rPr>
              <w:t>语言、通识、先修课程、专业认知与申请准备</w:t>
            </w:r>
          </w:p>
        </w:tc>
        <w:tc>
          <w:tcPr>
            <w:tcW w:type="dxa" w:w="2016"/>
            <w:shd w:fill="D9EAF7"/>
            <w:vAlign w:val="center"/>
            <w:tcMar>
              <w:top w:w="90" w:type="dxa"/>
              <w:start w:w="120" w:type="dxa"/>
              <w:bottom w:w="90" w:type="dxa"/>
              <w:end w:w="120" w:type="dxa"/>
            </w:tcMar>
          </w:tcPr>
          <w:p>
            <w:pPr>
              <w:jc w:val="center"/>
            </w:pPr>
            <w:r/>
            <w:r>
              <w:rPr>
                <w:rFonts w:ascii="Aptos" w:hAnsi="Aptos" w:eastAsia="微软雅黑"/>
                <w:b w:val="0"/>
                <w:color w:val="243447"/>
                <w:sz w:val="18"/>
              </w:rPr>
              <w:t>护理课程学习、临床训练、学生适应与支持</w:t>
            </w:r>
          </w:p>
        </w:tc>
        <w:tc>
          <w:tcPr>
            <w:tcW w:type="dxa" w:w="2016"/>
            <w:shd w:fill="D9EAF7"/>
            <w:vAlign w:val="center"/>
            <w:tcMar>
              <w:top w:w="90" w:type="dxa"/>
              <w:start w:w="120" w:type="dxa"/>
              <w:bottom w:w="90" w:type="dxa"/>
              <w:end w:w="120" w:type="dxa"/>
            </w:tcMar>
          </w:tcPr>
          <w:p>
            <w:pPr>
              <w:jc w:val="center"/>
            </w:pPr>
            <w:r/>
            <w:r>
              <w:rPr>
                <w:rFonts w:ascii="Aptos" w:hAnsi="Aptos" w:eastAsia="微软雅黑"/>
                <w:b w:val="0"/>
                <w:color w:val="243447"/>
                <w:sz w:val="18"/>
              </w:rPr>
              <w:t>NCLEX-RN考试准备与RN执业信息支持</w:t>
            </w:r>
          </w:p>
        </w:tc>
        <w:tc>
          <w:tcPr>
            <w:tcW w:type="dxa" w:w="2016"/>
            <w:shd w:fill="D9EAF7"/>
            <w:vAlign w:val="center"/>
            <w:tcMar>
              <w:top w:w="90" w:type="dxa"/>
              <w:start w:w="120" w:type="dxa"/>
              <w:bottom w:w="90" w:type="dxa"/>
              <w:end w:w="120" w:type="dxa"/>
            </w:tcMar>
          </w:tcPr>
          <w:p>
            <w:pPr>
              <w:jc w:val="center"/>
            </w:pPr>
            <w:r/>
            <w:r>
              <w:rPr>
                <w:rFonts w:ascii="Aptos" w:hAnsi="Aptos" w:eastAsia="微软雅黑"/>
                <w:b w:val="0"/>
                <w:color w:val="243447"/>
                <w:sz w:val="18"/>
              </w:rPr>
              <w:t>RN→BSN→MSN/NP等继续教育路径</w:t>
            </w:r>
          </w:p>
        </w:tc>
        <w:tc>
          <w:tcPr>
            <w:tcW w:type="dxa" w:w="2016"/>
            <w:shd w:fill="D9EAF7"/>
            <w:vAlign w:val="center"/>
            <w:tcMar>
              <w:top w:w="90" w:type="dxa"/>
              <w:start w:w="120" w:type="dxa"/>
              <w:bottom w:w="90" w:type="dxa"/>
              <w:end w:w="120" w:type="dxa"/>
            </w:tcMar>
          </w:tcPr>
          <w:p>
            <w:pPr>
              <w:jc w:val="center"/>
            </w:pPr>
            <w:r/>
            <w:r>
              <w:rPr>
                <w:rFonts w:ascii="Aptos" w:hAnsi="Aptos" w:eastAsia="微软雅黑"/>
                <w:b w:val="0"/>
                <w:color w:val="243447"/>
                <w:sz w:val="18"/>
              </w:rPr>
              <w:t>全球资格信息、行业资讯、校友与合作资源连接</w:t>
            </w:r>
          </w:p>
        </w:tc>
      </w:tr>
    </w:tbl>
    <w:p>
      <w:pPr>
        <w:pStyle w:val="Heading2"/>
      </w:pPr>
      <w:r>
        <w:t>3.2 国内准备阶段</w:t>
      </w:r>
    </w:p>
    <w:p>
      <w:pPr>
        <w:pStyle w:val="ListBullet"/>
      </w:pPr>
      <w:r>
        <w:t>英语及医学基础语言能力提升；</w:t>
      </w:r>
    </w:p>
    <w:p>
      <w:pPr>
        <w:pStyle w:val="ListBullet"/>
      </w:pPr>
      <w:r>
        <w:t>通识课程、护理先修课程及学习能力准备；</w:t>
      </w:r>
    </w:p>
    <w:p>
      <w:pPr>
        <w:pStyle w:val="ListBullet"/>
      </w:pPr>
      <w:r>
        <w:t>美国社区大学及护理教育体系介绍；</w:t>
      </w:r>
    </w:p>
    <w:p>
      <w:pPr>
        <w:pStyle w:val="ListBullet"/>
      </w:pPr>
      <w:r>
        <w:t>学术诚信、职业伦理与跨文化沟通训练；</w:t>
      </w:r>
    </w:p>
    <w:p>
      <w:pPr>
        <w:pStyle w:val="ListBullet"/>
      </w:pPr>
      <w:r>
        <w:t>申请资料、入学安排与个人学习计划支持。</w:t>
      </w:r>
    </w:p>
    <w:p>
      <w:pPr>
        <w:pStyle w:val="Heading2"/>
      </w:pPr>
      <w:r>
        <w:t>3.3 美国学习阶段</w:t>
      </w:r>
    </w:p>
    <w:p>
      <w:pPr>
        <w:pStyle w:val="ListBullet"/>
      </w:pPr>
      <w:r>
        <w:t>进入符合条件的社区大学或合作教育路径学习；</w:t>
      </w:r>
    </w:p>
    <w:p>
      <w:pPr>
        <w:pStyle w:val="ListBullet"/>
      </w:pPr>
      <w:r>
        <w:t>完成护理专业课程、实验课程及学校安排的临床训练；</w:t>
      </w:r>
    </w:p>
    <w:p>
      <w:pPr>
        <w:pStyle w:val="ListBullet"/>
      </w:pPr>
      <w:r>
        <w:t>获得学习适应、生活信息、校园资源和学业规划支持；</w:t>
      </w:r>
    </w:p>
    <w:p>
      <w:pPr>
        <w:pStyle w:val="ListBullet"/>
      </w:pPr>
      <w:r>
        <w:t>根据学校政策及个人情况规划ADN、转学、BSN或其他继续教育路径。</w:t>
      </w:r>
    </w:p>
    <w:p>
      <w:pPr>
        <w:pStyle w:val="Heading2"/>
      </w:pPr>
      <w:r>
        <w:t>3.4 职业与长期发展阶段</w:t>
      </w:r>
    </w:p>
    <w:p>
      <w:pPr>
        <w:pStyle w:val="ListBullet"/>
      </w:pPr>
      <w:r>
        <w:t>了解NCLEX-RN及所在州执业注册要求；</w:t>
      </w:r>
    </w:p>
    <w:p>
      <w:pPr>
        <w:pStyle w:val="ListBullet"/>
      </w:pPr>
      <w:r>
        <w:t>获得公开考试、资格注册和继续教育信息；</w:t>
      </w:r>
    </w:p>
    <w:p>
      <w:pPr>
        <w:pStyle w:val="ListBullet"/>
      </w:pPr>
      <w:r>
        <w:t>通过GCCA资源平台了解不同地区的行业趋势与发展渠道；</w:t>
      </w:r>
    </w:p>
    <w:p>
      <w:pPr>
        <w:pStyle w:val="ListBullet"/>
      </w:pPr>
      <w:r>
        <w:t>参与校友交流、导师分享和行业信息活动；</w:t>
      </w:r>
    </w:p>
    <w:p>
      <w:pPr>
        <w:pStyle w:val="ListBullet"/>
      </w:pPr>
      <w:r>
        <w:t>根据个人资格、语言、执业经历和目标，自主选择继续深造或职业发展方向。</w:t>
      </w:r>
    </w:p>
    <w:p>
      <w:r>
        <w:br w:type="page"/>
      </w:r>
    </w:p>
    <w:p>
      <w:pPr>
        <w:pStyle w:val="Heading1"/>
      </w:pPr>
      <w:r>
        <w:t>第四章  GCCA联盟特色班（ACP）培养模式</w:t>
      </w:r>
    </w:p>
    <w:p>
      <w:pPr>
        <w:pStyle w:val="Heading2"/>
      </w:pPr>
      <w:r>
        <w:t>4.1 模式定义</w:t>
      </w:r>
    </w:p>
    <w:p>
      <w:r>
        <w:t>GCCA联盟特色班（Alliance Cohort Program，简称ACP）是NTP项目的重要培养机制。该模式由GCCA根据合作院校的办学政策、课程资源和项目条件，提前组织符合条件的学生，以相对集中的班级或学习共同体形式开展课程衔接、学习支持和项目管理。其核心价值不是绕开学校的录取标准或课程规则，而是在符合院校要求的前提下，提高培养组织化程度，增强课程安排的计划性、学习过程的连续性和学生支持的系统性。</w:t>
      </w:r>
    </w:p>
    <w:p>
      <w:pPr>
        <w:pStyle w:val="QuoteBox"/>
      </w:pPr>
      <w:r>
        <w:t>在美国部分护理课程和护理项目中，受师资、临床教学点、实验室容量和课程名额等因素影响，学生可能面临先修课程衔接、课程开放时间或项目申请周期方面的等待。ACP通过提前规划生源、统一准备、协调课程节奏和加强项目沟通，努力减少信息分散与安排不确定性，但具体开班、课程、名额和入学时间仍以合作院校最终审批和实际教学资源为准。</w:t>
      </w:r>
    </w:p>
    <w:p>
      <w:pPr>
        <w:pStyle w:val="Heading2"/>
      </w:pPr>
      <w:r>
        <w:t>4.2 联盟特色班的主要优势</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统一组织与分阶段培养</w:t>
              <w:br/>
            </w:r>
            <w:r>
              <w:rPr>
                <w:rFonts w:eastAsia="微软雅黑"/>
                <w:color w:val="243447"/>
                <w:sz w:val="19"/>
              </w:rPr>
              <w:t>按照NTP整体路径组织学生完成语言、先修课程、护理专业学习和阶段性能力准备，避免各环节彼此割裂。</w:t>
            </w:r>
          </w:p>
        </w:tc>
        <w:tc>
          <w:tcPr>
            <w:tcW w:type="dxa" w:w="5040"/>
            <w:shd w:fill="F2F4F7"/>
            <w:tcMar>
              <w:top w:w="130" w:type="dxa"/>
              <w:start w:w="150" w:type="dxa"/>
              <w:bottom w:w="130" w:type="dxa"/>
              <w:end w:w="150" w:type="dxa"/>
            </w:tcMar>
          </w:tcPr>
          <w:p>
            <w:pPr>
              <w:jc w:val="left"/>
            </w:pPr>
            <w:r/>
            <w:r>
              <w:rPr>
                <w:rFonts w:eastAsia="微软雅黑"/>
                <w:b/>
                <w:color w:val="17365D"/>
                <w:sz w:val="22"/>
              </w:rPr>
              <w:t>更有计划的课程衔接</w:t>
              <w:br/>
            </w:r>
            <w:r>
              <w:rPr>
                <w:rFonts w:eastAsia="微软雅黑"/>
                <w:color w:val="243447"/>
                <w:sz w:val="19"/>
              </w:rPr>
              <w:t>根据合作院校教学计划和课程开放情况，提前进行学习规划、材料准备和课程衔接，降低临时选课与信息不对称带来的不确定性。</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相对稳定的学习共同体</w:t>
              <w:br/>
            </w:r>
            <w:r>
              <w:rPr>
                <w:rFonts w:eastAsia="微软雅黑"/>
                <w:color w:val="243447"/>
                <w:sz w:val="19"/>
              </w:rPr>
              <w:t>学生以班级或学习小组形式共同成长，便于形成同伴互助、经验分享、阶段激励和跨文化适应支持。</w:t>
            </w:r>
          </w:p>
        </w:tc>
        <w:tc>
          <w:tcPr>
            <w:tcW w:type="dxa" w:w="5040"/>
            <w:shd w:fill="F2F4F7"/>
            <w:tcMar>
              <w:top w:w="130" w:type="dxa"/>
              <w:start w:w="150" w:type="dxa"/>
              <w:bottom w:w="130" w:type="dxa"/>
              <w:end w:w="150" w:type="dxa"/>
            </w:tcMar>
          </w:tcPr>
          <w:p>
            <w:pPr>
              <w:jc w:val="left"/>
            </w:pPr>
            <w:r/>
            <w:r>
              <w:rPr>
                <w:rFonts w:eastAsia="微软雅黑"/>
                <w:b/>
                <w:color w:val="17365D"/>
                <w:sz w:val="22"/>
              </w:rPr>
              <w:t>专项教学与学习支持</w:t>
              <w:br/>
            </w:r>
            <w:r>
              <w:rPr>
                <w:rFonts w:eastAsia="微软雅黑"/>
                <w:color w:val="243447"/>
                <w:sz w:val="19"/>
              </w:rPr>
              <w:t>根据学生语言基础和专业需要配置医学英语、学习方法、护理基础认知、考试准备和学业辅导等补充支持。</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全过程项目管理</w:t>
              <w:br/>
            </w:r>
            <w:r>
              <w:rPr>
                <w:rFonts w:eastAsia="微软雅黑"/>
                <w:color w:val="243447"/>
                <w:sz w:val="19"/>
              </w:rPr>
              <w:t>建立学生档案、学习进度、风险提示、反馈沟通和阶段评估机制，加强国内准备与美国学习阶段之间的连续管理。</w:t>
            </w:r>
          </w:p>
        </w:tc>
        <w:tc>
          <w:tcPr>
            <w:tcW w:type="dxa" w:w="5040"/>
            <w:shd w:fill="F2F4F7"/>
            <w:tcMar>
              <w:top w:w="130" w:type="dxa"/>
              <w:start w:w="150" w:type="dxa"/>
              <w:bottom w:w="130" w:type="dxa"/>
              <w:end w:w="150" w:type="dxa"/>
            </w:tcMar>
          </w:tcPr>
          <w:p>
            <w:pPr>
              <w:jc w:val="left"/>
            </w:pPr>
            <w:r/>
            <w:r>
              <w:rPr>
                <w:rFonts w:eastAsia="微软雅黑"/>
                <w:b/>
                <w:color w:val="17365D"/>
                <w:sz w:val="22"/>
              </w:rPr>
              <w:t>全球发展资源延伸</w:t>
              <w:br/>
            </w:r>
            <w:r>
              <w:rPr>
                <w:rFonts w:eastAsia="微软雅黑"/>
                <w:color w:val="243447"/>
                <w:sz w:val="19"/>
              </w:rPr>
              <w:t>在完成学业支持的基础上，持续连接继续教育、执业资格、国际行业资讯、导师与校友资源，拓展学生的长期发展视野。</w:t>
            </w:r>
          </w:p>
        </w:tc>
      </w:tr>
    </w:tbl>
    <w:p/>
    <w:p>
      <w:pPr>
        <w:pStyle w:val="Heading2"/>
      </w:pPr>
      <w:r>
        <w:t>4.3 ACP与传统个人申请模式比较</w:t>
      </w:r>
    </w:p>
    <w:tbl>
      <w:tblPr>
        <w:tblW w:type="auto" w:w="0"/>
        <w:jc w:val="center"/>
        <w:tblLook w:firstColumn="1" w:firstRow="1" w:lastColumn="0" w:lastRow="0" w:noHBand="0" w:noVBand="1" w:val="04A0"/>
      </w:tblPr>
      <w:tblGrid>
        <w:gridCol w:w="3360"/>
        <w:gridCol w:w="3360"/>
        <w:gridCol w:w="3360"/>
      </w:tblGrid>
      <w:tr>
        <w:trPr>
          <w:tblHeader w:val="true"/>
        </w:trPr>
        <w:tc>
          <w:tcPr>
            <w:tcW w:type="dxa" w:w="3360"/>
            <w:shd w:fill="1F4E78"/>
            <w:vAlign w:val="center"/>
            <w:tcMar>
              <w:top w:w="90" w:type="dxa"/>
              <w:start w:w="120" w:type="dxa"/>
              <w:bottom w:w="90" w:type="dxa"/>
              <w:end w:w="120" w:type="dxa"/>
            </w:tcMar>
          </w:tcPr>
          <w:p>
            <w:pPr>
              <w:jc w:val="center"/>
            </w:pPr>
            <w:r/>
            <w:r>
              <w:rPr>
                <w:rFonts w:ascii="Aptos" w:hAnsi="Aptos" w:eastAsia="微软雅黑"/>
                <w:b/>
                <w:color w:val="FFFFFF"/>
                <w:sz w:val="20"/>
              </w:rPr>
              <w:t>比较维度</w:t>
            </w:r>
          </w:p>
        </w:tc>
        <w:tc>
          <w:tcPr>
            <w:tcW w:type="dxa" w:w="3360"/>
            <w:shd w:fill="1F4E78"/>
            <w:vAlign w:val="center"/>
            <w:tcMar>
              <w:top w:w="90" w:type="dxa"/>
              <w:start w:w="120" w:type="dxa"/>
              <w:bottom w:w="90" w:type="dxa"/>
              <w:end w:w="120" w:type="dxa"/>
            </w:tcMar>
          </w:tcPr>
          <w:p>
            <w:pPr>
              <w:jc w:val="center"/>
            </w:pPr>
            <w:r/>
            <w:r>
              <w:rPr>
                <w:rFonts w:ascii="Aptos" w:hAnsi="Aptos" w:eastAsia="微软雅黑"/>
                <w:b/>
                <w:color w:val="FFFFFF"/>
                <w:sz w:val="20"/>
              </w:rPr>
              <w:t>传统个人申请模式</w:t>
            </w:r>
          </w:p>
        </w:tc>
        <w:tc>
          <w:tcPr>
            <w:tcW w:type="dxa" w:w="3360"/>
            <w:shd w:fill="1F4E78"/>
            <w:vAlign w:val="center"/>
            <w:tcMar>
              <w:top w:w="90" w:type="dxa"/>
              <w:start w:w="120" w:type="dxa"/>
              <w:bottom w:w="90" w:type="dxa"/>
              <w:end w:w="120" w:type="dxa"/>
            </w:tcMar>
          </w:tcPr>
          <w:p>
            <w:pPr>
              <w:jc w:val="center"/>
            </w:pPr>
            <w:r/>
            <w:r>
              <w:rPr>
                <w:rFonts w:ascii="Aptos" w:hAnsi="Aptos" w:eastAsia="微软雅黑"/>
                <w:b/>
                <w:color w:val="FFFFFF"/>
                <w:sz w:val="20"/>
              </w:rPr>
              <w:t>GCCA联盟特色班（ACP）</w:t>
            </w:r>
          </w:p>
        </w:tc>
      </w:tr>
      <w:tr>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8"/>
              </w:rPr>
              <w:t>项目组织</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8"/>
              </w:rPr>
              <w:t>学生自行查询、申请和安排各阶段事项</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8"/>
              </w:rPr>
              <w:t>联盟统一提供项目说明、节点管理和协同支持</w:t>
            </w:r>
          </w:p>
        </w:tc>
      </w:tr>
      <w:tr>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8"/>
              </w:rPr>
              <w:t>学习路径</w:t>
            </w:r>
          </w:p>
        </w:tc>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8"/>
              </w:rPr>
              <w:t>课程与阶段规划较依赖个人信息搜集能力</w:t>
            </w:r>
          </w:p>
        </w:tc>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8"/>
              </w:rPr>
              <w:t>围绕NTP路径形成相对系统的培养安排</w:t>
            </w:r>
          </w:p>
        </w:tc>
      </w:tr>
      <w:tr>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8"/>
              </w:rPr>
              <w:t>课程衔接</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8"/>
              </w:rPr>
              <w:t>可能因先修课、开放时间和名额安排产生不确定性</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8"/>
              </w:rPr>
              <w:t>提前准备并依据合作院校计划协调课程衔接</w:t>
            </w:r>
          </w:p>
        </w:tc>
      </w:tr>
      <w:tr>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8"/>
              </w:rPr>
              <w:t>学习支持</w:t>
            </w:r>
          </w:p>
        </w:tc>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8"/>
              </w:rPr>
              <w:t>主要使用学校通用资源</w:t>
            </w:r>
          </w:p>
        </w:tc>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8"/>
              </w:rPr>
              <w:t>在学校资源之外增加语言、学业、文化适应和同伴支持</w:t>
            </w:r>
          </w:p>
        </w:tc>
      </w:tr>
      <w:tr>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8"/>
              </w:rPr>
              <w:t>班级体验</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8"/>
              </w:rPr>
              <w:t>学生分散，互助关系需要自行建立</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8"/>
              </w:rPr>
              <w:t>形成相对稳定的学习共同体和班级支持机制</w:t>
            </w:r>
          </w:p>
        </w:tc>
      </w:tr>
      <w:tr>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8"/>
              </w:rPr>
              <w:t>长期发展</w:t>
            </w:r>
          </w:p>
        </w:tc>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8"/>
              </w:rPr>
              <w:t>毕业后资源主要由个人继续寻找</w:t>
            </w:r>
          </w:p>
        </w:tc>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8"/>
              </w:rPr>
              <w:t>持续接入GCCA学术与职业发展信息资源平台</w:t>
            </w:r>
          </w:p>
        </w:tc>
      </w:tr>
    </w:tbl>
    <w:p>
      <w:pPr>
        <w:pStyle w:val="Heading2"/>
      </w:pPr>
      <w:r>
        <w:t>4.4 实施条件与合规边界</w:t>
      </w:r>
    </w:p>
    <w:p>
      <w:pPr>
        <w:pStyle w:val="ListBullet"/>
      </w:pPr>
      <w:r>
        <w:t>学生必须符合合作院校的招生、语言、先修课程、健康、背景审查及其他入学要求；</w:t>
      </w:r>
    </w:p>
    <w:p>
      <w:pPr>
        <w:pStyle w:val="ListBullet"/>
      </w:pPr>
      <w:r>
        <w:t>特色班的开设时间、班级规模、课程安排和教学形式，以合作院校正式确认及实际教学资源为准；</w:t>
      </w:r>
    </w:p>
    <w:p>
      <w:pPr>
        <w:pStyle w:val="ListBullet"/>
      </w:pPr>
      <w:r>
        <w:t>ACP不意味着降低学校录取标准，不构成保证录取、保证开班、保证不等待或保证毕业；</w:t>
      </w:r>
    </w:p>
    <w:p>
      <w:pPr>
        <w:pStyle w:val="ListBullet"/>
      </w:pPr>
      <w:r>
        <w:t>课程教学、学术评价、临床安排、成绩认定和毕业要求由合作院校依据其政策独立实施；</w:t>
      </w:r>
    </w:p>
    <w:p>
      <w:pPr>
        <w:pStyle w:val="ListBullet"/>
      </w:pPr>
      <w:r>
        <w:t>GCCA主要承担项目组织、跨境协调、学生支持、信息共享和资源连接，不替代院校教学与监管职能。</w:t>
      </w:r>
    </w:p>
    <w:p>
      <w:pPr>
        <w:pStyle w:val="Heading2"/>
      </w:pPr>
      <w:r>
        <w:t>4.5 品牌表达建议</w:t>
      </w:r>
    </w:p>
    <w:p>
      <w:r>
        <w:t>对外统一使用“GCCA联盟特色班（Alliance Cohort Program，ACP）”或“GCCA国际护理特色班”。在招生和合作材料中，重点突出“统一组织、计划培养、课程衔接、学习共同体、全周期支持和全球资源连接”，避免使用“无需排队”“保证名额”“确保录取”等绝对化表述。</w:t>
      </w:r>
    </w:p>
    <w:p>
      <w:r>
        <w:br w:type="page"/>
      </w:r>
    </w:p>
    <w:p>
      <w:pPr>
        <w:pStyle w:val="Heading1"/>
      </w:pPr>
      <w:r>
        <w:t>第五章  护理学术与执业成长路径</w:t>
      </w:r>
    </w:p>
    <w:p>
      <w:pPr>
        <w:pStyle w:val="Heading2"/>
      </w:pPr>
      <w:r>
        <w:t>4.1 典型成长路径</w:t>
      </w:r>
    </w:p>
    <w:tbl>
      <w:tblPr>
        <w:tblW w:type="auto" w:w="0"/>
        <w:jc w:val="center"/>
        <w:tblLook w:firstColumn="1" w:firstRow="1" w:lastColumn="0" w:lastRow="0" w:noHBand="0" w:noVBand="1" w:val="04A0"/>
      </w:tblPr>
      <w:tblGrid>
        <w:gridCol w:w="5040"/>
        <w:gridCol w:w="5040"/>
      </w:tblGrid>
      <w:tr>
        <w:tc>
          <w:tcPr>
            <w:tcW w:type="dxa" w:w="5040"/>
            <w:shd w:fill="1F4E78"/>
            <w:vAlign w:val="center"/>
            <w:tcMar>
              <w:top w:w="90" w:type="dxa"/>
              <w:start w:w="120" w:type="dxa"/>
              <w:bottom w:w="90" w:type="dxa"/>
              <w:end w:w="120" w:type="dxa"/>
            </w:tcMar>
          </w:tcPr>
          <w:p>
            <w:pPr>
              <w:jc w:val="center"/>
            </w:pPr>
            <w:r/>
            <w:r>
              <w:rPr>
                <w:rFonts w:ascii="Aptos" w:hAnsi="Aptos" w:eastAsia="微软雅黑"/>
                <w:b/>
                <w:color w:val="FFFFFF"/>
                <w:sz w:val="20"/>
              </w:rPr>
              <w:t>起点</w:t>
            </w:r>
          </w:p>
        </w:tc>
        <w:tc>
          <w:tcPr>
            <w:tcW w:type="dxa" w:w="5040"/>
            <w:shd w:fill="D9EAF7"/>
            <w:vAlign w:val="center"/>
            <w:tcMar>
              <w:top w:w="90" w:type="dxa"/>
              <w:start w:w="120" w:type="dxa"/>
              <w:bottom w:w="90" w:type="dxa"/>
              <w:end w:w="120" w:type="dxa"/>
            </w:tcMar>
          </w:tcPr>
          <w:p>
            <w:pPr>
              <w:jc w:val="left"/>
            </w:pPr>
            <w:r/>
            <w:r>
              <w:rPr>
                <w:rFonts w:ascii="Aptos" w:hAnsi="Aptos" w:eastAsia="微软雅黑"/>
                <w:b w:val="0"/>
                <w:color w:val="243447"/>
                <w:sz w:val="21"/>
              </w:rPr>
              <w:t>语言与先修课程</w:t>
            </w:r>
          </w:p>
        </w:tc>
      </w:tr>
      <w:tr>
        <w:tc>
          <w:tcPr>
            <w:tcW w:type="dxa" w:w="5040"/>
            <w:shd w:fill="5B9BD5"/>
            <w:vAlign w:val="center"/>
            <w:tcMar>
              <w:top w:w="90" w:type="dxa"/>
              <w:start w:w="120" w:type="dxa"/>
              <w:bottom w:w="90" w:type="dxa"/>
              <w:end w:w="120" w:type="dxa"/>
            </w:tcMar>
          </w:tcPr>
          <w:p>
            <w:pPr>
              <w:jc w:val="center"/>
            </w:pPr>
            <w:r/>
            <w:r>
              <w:rPr>
                <w:rFonts w:ascii="Aptos" w:hAnsi="Aptos" w:eastAsia="微软雅黑"/>
                <w:b/>
                <w:color w:val="FFFFFF"/>
                <w:sz w:val="20"/>
              </w:rPr>
              <w:t>基础实践</w:t>
            </w:r>
          </w:p>
        </w:tc>
        <w:tc>
          <w:tcPr>
            <w:tcW w:type="dxa" w:w="5040"/>
            <w:shd w:fill="F2F4F7"/>
            <w:vAlign w:val="center"/>
            <w:tcMar>
              <w:top w:w="90" w:type="dxa"/>
              <w:start w:w="120" w:type="dxa"/>
              <w:bottom w:w="90" w:type="dxa"/>
              <w:end w:w="120" w:type="dxa"/>
            </w:tcMar>
          </w:tcPr>
          <w:p>
            <w:pPr>
              <w:jc w:val="left"/>
            </w:pPr>
            <w:r/>
            <w:r>
              <w:rPr>
                <w:rFonts w:ascii="Aptos" w:hAnsi="Aptos" w:eastAsia="微软雅黑"/>
                <w:b w:val="0"/>
                <w:color w:val="243447"/>
                <w:sz w:val="21"/>
              </w:rPr>
              <w:t>CNA等基础护理认知/技能路径（视地区与学校要求）</w:t>
            </w:r>
          </w:p>
        </w:tc>
      </w:tr>
      <w:tr>
        <w:tc>
          <w:tcPr>
            <w:tcW w:type="dxa" w:w="5040"/>
            <w:shd w:fill="1F4E78"/>
            <w:vAlign w:val="center"/>
            <w:tcMar>
              <w:top w:w="90" w:type="dxa"/>
              <w:start w:w="120" w:type="dxa"/>
              <w:bottom w:w="90" w:type="dxa"/>
              <w:end w:w="120" w:type="dxa"/>
            </w:tcMar>
          </w:tcPr>
          <w:p>
            <w:pPr>
              <w:jc w:val="center"/>
            </w:pPr>
            <w:r/>
            <w:r>
              <w:rPr>
                <w:rFonts w:ascii="Aptos" w:hAnsi="Aptos" w:eastAsia="微软雅黑"/>
                <w:b/>
                <w:color w:val="FFFFFF"/>
                <w:sz w:val="20"/>
              </w:rPr>
              <w:t>职业教育</w:t>
            </w:r>
          </w:p>
        </w:tc>
        <w:tc>
          <w:tcPr>
            <w:tcW w:type="dxa" w:w="5040"/>
            <w:shd w:fill="D9EAF7"/>
            <w:vAlign w:val="center"/>
            <w:tcMar>
              <w:top w:w="90" w:type="dxa"/>
              <w:start w:w="120" w:type="dxa"/>
              <w:bottom w:w="90" w:type="dxa"/>
              <w:end w:w="120" w:type="dxa"/>
            </w:tcMar>
          </w:tcPr>
          <w:p>
            <w:pPr>
              <w:jc w:val="left"/>
            </w:pPr>
            <w:r/>
            <w:r>
              <w:rPr>
                <w:rFonts w:ascii="Aptos" w:hAnsi="Aptos" w:eastAsia="微软雅黑"/>
                <w:b w:val="0"/>
                <w:color w:val="243447"/>
                <w:sz w:val="21"/>
              </w:rPr>
              <w:t>LVN/LPN或ADN护理教育路径</w:t>
            </w:r>
          </w:p>
        </w:tc>
      </w:tr>
      <w:tr>
        <w:tc>
          <w:tcPr>
            <w:tcW w:type="dxa" w:w="5040"/>
            <w:shd w:fill="5B9BD5"/>
            <w:vAlign w:val="center"/>
            <w:tcMar>
              <w:top w:w="90" w:type="dxa"/>
              <w:start w:w="120" w:type="dxa"/>
              <w:bottom w:w="90" w:type="dxa"/>
              <w:end w:w="120" w:type="dxa"/>
            </w:tcMar>
          </w:tcPr>
          <w:p>
            <w:pPr>
              <w:jc w:val="center"/>
            </w:pPr>
            <w:r/>
            <w:r>
              <w:rPr>
                <w:rFonts w:ascii="Aptos" w:hAnsi="Aptos" w:eastAsia="微软雅黑"/>
                <w:b/>
                <w:color w:val="FFFFFF"/>
                <w:sz w:val="20"/>
              </w:rPr>
              <w:t>执业资格</w:t>
            </w:r>
          </w:p>
        </w:tc>
        <w:tc>
          <w:tcPr>
            <w:tcW w:type="dxa" w:w="5040"/>
            <w:shd w:fill="F2F4F7"/>
            <w:vAlign w:val="center"/>
            <w:tcMar>
              <w:top w:w="90" w:type="dxa"/>
              <w:start w:w="120" w:type="dxa"/>
              <w:bottom w:w="90" w:type="dxa"/>
              <w:end w:w="120" w:type="dxa"/>
            </w:tcMar>
          </w:tcPr>
          <w:p>
            <w:pPr>
              <w:jc w:val="left"/>
            </w:pPr>
            <w:r/>
            <w:r>
              <w:rPr>
                <w:rFonts w:ascii="Aptos" w:hAnsi="Aptos" w:eastAsia="微软雅黑"/>
                <w:b w:val="0"/>
                <w:color w:val="243447"/>
                <w:sz w:val="21"/>
              </w:rPr>
              <w:t>通过NCLEX-RN并完成州级注册要求</w:t>
            </w:r>
          </w:p>
        </w:tc>
      </w:tr>
      <w:tr>
        <w:tc>
          <w:tcPr>
            <w:tcW w:type="dxa" w:w="5040"/>
            <w:shd w:fill="1F4E78"/>
            <w:vAlign w:val="center"/>
            <w:tcMar>
              <w:top w:w="90" w:type="dxa"/>
              <w:start w:w="120" w:type="dxa"/>
              <w:bottom w:w="90" w:type="dxa"/>
              <w:end w:w="120" w:type="dxa"/>
            </w:tcMar>
          </w:tcPr>
          <w:p>
            <w:pPr>
              <w:jc w:val="center"/>
            </w:pPr>
            <w:r/>
            <w:r>
              <w:rPr>
                <w:rFonts w:ascii="Aptos" w:hAnsi="Aptos" w:eastAsia="微软雅黑"/>
                <w:b/>
                <w:color w:val="FFFFFF"/>
                <w:sz w:val="20"/>
              </w:rPr>
              <w:t>学历提升</w:t>
            </w:r>
          </w:p>
        </w:tc>
        <w:tc>
          <w:tcPr>
            <w:tcW w:type="dxa" w:w="5040"/>
            <w:shd w:fill="D9EAF7"/>
            <w:vAlign w:val="center"/>
            <w:tcMar>
              <w:top w:w="90" w:type="dxa"/>
              <w:start w:w="120" w:type="dxa"/>
              <w:bottom w:w="90" w:type="dxa"/>
              <w:end w:w="120" w:type="dxa"/>
            </w:tcMar>
          </w:tcPr>
          <w:p>
            <w:pPr>
              <w:jc w:val="left"/>
            </w:pPr>
            <w:r/>
            <w:r>
              <w:rPr>
                <w:rFonts w:ascii="Aptos" w:hAnsi="Aptos" w:eastAsia="微软雅黑"/>
                <w:b w:val="0"/>
                <w:color w:val="243447"/>
                <w:sz w:val="21"/>
              </w:rPr>
              <w:t>RN-to-BSN、MSN</w:t>
            </w:r>
          </w:p>
        </w:tc>
      </w:tr>
      <w:tr>
        <w:tc>
          <w:tcPr>
            <w:tcW w:type="dxa" w:w="5040"/>
            <w:shd w:fill="5B9BD5"/>
            <w:vAlign w:val="center"/>
            <w:tcMar>
              <w:top w:w="90" w:type="dxa"/>
              <w:start w:w="120" w:type="dxa"/>
              <w:bottom w:w="90" w:type="dxa"/>
              <w:end w:w="120" w:type="dxa"/>
            </w:tcMar>
          </w:tcPr>
          <w:p>
            <w:pPr>
              <w:jc w:val="center"/>
            </w:pPr>
            <w:r/>
            <w:r>
              <w:rPr>
                <w:rFonts w:ascii="Aptos" w:hAnsi="Aptos" w:eastAsia="微软雅黑"/>
                <w:b/>
                <w:color w:val="FFFFFF"/>
                <w:sz w:val="20"/>
              </w:rPr>
              <w:t>高级发展</w:t>
            </w:r>
          </w:p>
        </w:tc>
        <w:tc>
          <w:tcPr>
            <w:tcW w:type="dxa" w:w="5040"/>
            <w:shd w:fill="F2F4F7"/>
            <w:vAlign w:val="center"/>
            <w:tcMar>
              <w:top w:w="90" w:type="dxa"/>
              <w:start w:w="120" w:type="dxa"/>
              <w:bottom w:w="90" w:type="dxa"/>
              <w:end w:w="120" w:type="dxa"/>
            </w:tcMar>
          </w:tcPr>
          <w:p>
            <w:pPr>
              <w:jc w:val="left"/>
            </w:pPr>
            <w:r/>
            <w:r>
              <w:rPr>
                <w:rFonts w:ascii="Aptos" w:hAnsi="Aptos" w:eastAsia="微软雅黑"/>
                <w:b w:val="0"/>
                <w:color w:val="243447"/>
                <w:sz w:val="21"/>
              </w:rPr>
              <w:t>NP及其他高级护理、教育、管理或专业方向</w:t>
            </w:r>
          </w:p>
        </w:tc>
      </w:tr>
    </w:tbl>
    <w:p>
      <w:pPr>
        <w:pStyle w:val="Heading2"/>
      </w:pPr>
      <w:r>
        <w:t>4.2 路径说明</w:t>
      </w:r>
    </w:p>
    <w:p>
      <w:r>
        <w:t>护理教育和执业资格具有明显的地区差异。CNA、LVN/LPN、RN、BSN和NP不是简单的固定阶梯，不同州、学校和个人基础可能对应不同进入方式。本项目将以学生实际条件、学校要求和官方规定为依据，提供路径信息和规划支持。</w:t>
      </w:r>
    </w:p>
    <w:p>
      <w:pPr>
        <w:pStyle w:val="Heading2"/>
      </w:pPr>
      <w:r>
        <w:t>4.3 主要阶段释义</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CNA</w:t>
              <w:br/>
            </w:r>
            <w:r>
              <w:rPr>
                <w:rFonts w:eastAsia="微软雅黑"/>
                <w:color w:val="243447"/>
                <w:sz w:val="19"/>
              </w:rPr>
              <w:t>护理助理相关资格或岗位路径，通常承担基础照护工作，具体要求由所在州或机构确定。</w:t>
            </w:r>
          </w:p>
        </w:tc>
        <w:tc>
          <w:tcPr>
            <w:tcW w:type="dxa" w:w="5040"/>
            <w:shd w:fill="F2F4F7"/>
            <w:tcMar>
              <w:top w:w="130" w:type="dxa"/>
              <w:start w:w="150" w:type="dxa"/>
              <w:bottom w:w="130" w:type="dxa"/>
              <w:end w:w="150" w:type="dxa"/>
            </w:tcMar>
          </w:tcPr>
          <w:p>
            <w:pPr>
              <w:jc w:val="left"/>
            </w:pPr>
            <w:r/>
            <w:r>
              <w:rPr>
                <w:rFonts w:eastAsia="微软雅黑"/>
                <w:b/>
                <w:color w:val="17365D"/>
                <w:sz w:val="22"/>
              </w:rPr>
              <w:t>LVN/LPN</w:t>
              <w:br/>
            </w:r>
            <w:r>
              <w:rPr>
                <w:rFonts w:eastAsia="微软雅黑"/>
                <w:color w:val="243447"/>
                <w:sz w:val="19"/>
              </w:rPr>
              <w:t>执照职业护士/实用护士路径，名称与执业范围因州而异。</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RN</w:t>
              <w:br/>
            </w:r>
            <w:r>
              <w:rPr>
                <w:rFonts w:eastAsia="微软雅黑"/>
                <w:color w:val="243447"/>
                <w:sz w:val="19"/>
              </w:rPr>
              <w:t>注册护士。通常需完成认可的护理教育、通过NCLEX-RN，并满足州护理委员会的其他要求。</w:t>
            </w:r>
          </w:p>
        </w:tc>
        <w:tc>
          <w:tcPr>
            <w:tcW w:type="dxa" w:w="5040"/>
            <w:shd w:fill="F2F4F7"/>
            <w:tcMar>
              <w:top w:w="130" w:type="dxa"/>
              <w:start w:w="150" w:type="dxa"/>
              <w:bottom w:w="130" w:type="dxa"/>
              <w:end w:w="150" w:type="dxa"/>
            </w:tcMar>
          </w:tcPr>
          <w:p>
            <w:pPr>
              <w:jc w:val="left"/>
            </w:pPr>
            <w:r/>
            <w:r>
              <w:rPr>
                <w:rFonts w:eastAsia="微软雅黑"/>
                <w:b/>
                <w:color w:val="17365D"/>
                <w:sz w:val="22"/>
              </w:rPr>
              <w:t>BSN</w:t>
              <w:br/>
            </w:r>
            <w:r>
              <w:rPr>
                <w:rFonts w:eastAsia="微软雅黑"/>
                <w:color w:val="243447"/>
                <w:sz w:val="19"/>
              </w:rPr>
              <w:t>护理学学士。可通过四年制项目或RN-to-BSN等方式完成。</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MSN / NP</w:t>
              <w:br/>
            </w:r>
            <w:r>
              <w:rPr>
                <w:rFonts w:eastAsia="微软雅黑"/>
                <w:color w:val="243447"/>
                <w:sz w:val="19"/>
              </w:rPr>
              <w:t>护理硕士及高级执业方向，需满足相应教育、临床、认证与州级执业要求。</w:t>
            </w:r>
          </w:p>
        </w:tc>
        <w:tc>
          <w:tcPr>
            <w:tcW w:type="dxa" w:w="5040"/>
            <w:shd w:fill="F2F4F7"/>
            <w:tcMar>
              <w:top w:w="130" w:type="dxa"/>
              <w:start w:w="150" w:type="dxa"/>
              <w:bottom w:w="130" w:type="dxa"/>
              <w:end w:w="150" w:type="dxa"/>
            </w:tcMar>
          </w:tcPr>
          <w:p>
            <w:pPr>
              <w:jc w:val="left"/>
            </w:pPr>
            <w:r/>
            <w:r>
              <w:rPr>
                <w:rFonts w:eastAsia="微软雅黑"/>
                <w:b/>
                <w:color w:val="17365D"/>
                <w:sz w:val="22"/>
              </w:rPr>
              <w:t>继续教育</w:t>
              <w:br/>
            </w:r>
            <w:r>
              <w:rPr>
                <w:rFonts w:eastAsia="微软雅黑"/>
                <w:color w:val="243447"/>
                <w:sz w:val="19"/>
              </w:rPr>
              <w:t>护理人员需要依据执业地和专业要求持续更新知识、技能与资格。</w:t>
            </w:r>
          </w:p>
        </w:tc>
      </w:tr>
    </w:tbl>
    <w:p/>
    <w:p>
      <w:r>
        <w:br w:type="page"/>
      </w:r>
    </w:p>
    <w:p>
      <w:pPr>
        <w:pStyle w:val="Heading1"/>
      </w:pPr>
      <w:r>
        <w:t>第六章  学生全周期支持体系</w:t>
      </w:r>
    </w:p>
    <w:p>
      <w:pPr>
        <w:pStyle w:val="Heading2"/>
      </w:pPr>
      <w:r>
        <w:t>6.1 支持原则</w:t>
      </w:r>
    </w:p>
    <w:p>
      <w:r>
        <w:t>NTP以学生成长为中心，构建覆盖“入学前、学习中、升学与执业准备、毕业后发展”的支持体系。支持的核心不是替代学生完成选择，而是帮助学生获取可靠信息、理解规则、提升能力并形成自主规划。</w:t>
      </w:r>
    </w:p>
    <w:p>
      <w:pPr>
        <w:pStyle w:val="Heading2"/>
      </w:pPr>
      <w:r>
        <w:t>6.2 主要支持模块</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路径规划</w:t>
              <w:br/>
            </w:r>
            <w:r>
              <w:rPr>
                <w:rFonts w:eastAsia="微软雅黑"/>
                <w:color w:val="243447"/>
                <w:sz w:val="19"/>
              </w:rPr>
              <w:t>评估学习基础、语言情况、目标与阶段条件，形成个性化学习路线建议。</w:t>
            </w:r>
          </w:p>
        </w:tc>
        <w:tc>
          <w:tcPr>
            <w:tcW w:type="dxa" w:w="5040"/>
            <w:shd w:fill="F2F4F7"/>
            <w:tcMar>
              <w:top w:w="130" w:type="dxa"/>
              <w:start w:w="150" w:type="dxa"/>
              <w:bottom w:w="130" w:type="dxa"/>
              <w:end w:w="150" w:type="dxa"/>
            </w:tcMar>
          </w:tcPr>
          <w:p>
            <w:pPr>
              <w:jc w:val="left"/>
            </w:pPr>
            <w:r/>
            <w:r>
              <w:rPr>
                <w:rFonts w:eastAsia="微软雅黑"/>
                <w:b/>
                <w:color w:val="17365D"/>
                <w:sz w:val="22"/>
              </w:rPr>
              <w:t>申请与入学信息</w:t>
              <w:br/>
            </w:r>
            <w:r>
              <w:rPr>
                <w:rFonts w:eastAsia="微软雅黑"/>
                <w:color w:val="243447"/>
                <w:sz w:val="19"/>
              </w:rPr>
              <w:t>提供学校及项目公开信息、材料准备指引与流程协调。</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学业支持</w:t>
              <w:br/>
            </w:r>
            <w:r>
              <w:rPr>
                <w:rFonts w:eastAsia="微软雅黑"/>
                <w:color w:val="243447"/>
                <w:sz w:val="19"/>
              </w:rPr>
              <w:t>学习方法、课程衔接、校园资源使用和阶段性学业规划。</w:t>
            </w:r>
          </w:p>
        </w:tc>
        <w:tc>
          <w:tcPr>
            <w:tcW w:type="dxa" w:w="5040"/>
            <w:shd w:fill="F2F4F7"/>
            <w:tcMar>
              <w:top w:w="130" w:type="dxa"/>
              <w:start w:w="150" w:type="dxa"/>
              <w:bottom w:w="130" w:type="dxa"/>
              <w:end w:w="150" w:type="dxa"/>
            </w:tcMar>
          </w:tcPr>
          <w:p>
            <w:pPr>
              <w:jc w:val="left"/>
            </w:pPr>
            <w:r/>
            <w:r>
              <w:rPr>
                <w:rFonts w:eastAsia="微软雅黑"/>
                <w:b/>
                <w:color w:val="17365D"/>
                <w:sz w:val="22"/>
              </w:rPr>
              <w:t>生活适应</w:t>
              <w:br/>
            </w:r>
            <w:r>
              <w:rPr>
                <w:rFonts w:eastAsia="微软雅黑"/>
                <w:color w:val="243447"/>
                <w:sz w:val="19"/>
              </w:rPr>
              <w:t>提供住宿、交通、保险、安全、文化适应等信息支持与资源指引。</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临床与执业认知</w:t>
              <w:br/>
            </w:r>
            <w:r>
              <w:rPr>
                <w:rFonts w:eastAsia="微软雅黑"/>
                <w:color w:val="243447"/>
                <w:sz w:val="19"/>
              </w:rPr>
              <w:t>帮助学生了解临床学习规范、职业伦理、考试与执业注册的一般要求。</w:t>
            </w:r>
          </w:p>
        </w:tc>
        <w:tc>
          <w:tcPr>
            <w:tcW w:type="dxa" w:w="5040"/>
            <w:shd w:fill="F2F4F7"/>
            <w:tcMar>
              <w:top w:w="130" w:type="dxa"/>
              <w:start w:w="150" w:type="dxa"/>
              <w:bottom w:w="130" w:type="dxa"/>
              <w:end w:w="150" w:type="dxa"/>
            </w:tcMar>
          </w:tcPr>
          <w:p>
            <w:pPr>
              <w:jc w:val="left"/>
            </w:pPr>
            <w:r/>
            <w:r>
              <w:rPr>
                <w:rFonts w:eastAsia="微软雅黑"/>
                <w:b/>
                <w:color w:val="17365D"/>
                <w:sz w:val="22"/>
              </w:rPr>
              <w:t>继续深造</w:t>
              <w:br/>
            </w:r>
            <w:r>
              <w:rPr>
                <w:rFonts w:eastAsia="微软雅黑"/>
                <w:color w:val="243447"/>
                <w:sz w:val="19"/>
              </w:rPr>
              <w:t>提供BSN、MSN、NP及相关专业方向的公开教育信息和路径参考。</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全球资讯</w:t>
              <w:br/>
            </w:r>
            <w:r>
              <w:rPr>
                <w:rFonts w:eastAsia="微软雅黑"/>
                <w:color w:val="243447"/>
                <w:sz w:val="19"/>
              </w:rPr>
              <w:t>汇聚各国家和地区护理教育、资格注册、行业发展和继续教育信息。</w:t>
            </w:r>
          </w:p>
        </w:tc>
        <w:tc>
          <w:tcPr>
            <w:tcW w:type="dxa" w:w="5040"/>
            <w:shd w:fill="F2F4F7"/>
            <w:tcMar>
              <w:top w:w="130" w:type="dxa"/>
              <w:start w:w="150" w:type="dxa"/>
              <w:bottom w:w="130" w:type="dxa"/>
              <w:end w:w="150" w:type="dxa"/>
            </w:tcMar>
          </w:tcPr>
          <w:p>
            <w:pPr>
              <w:jc w:val="left"/>
            </w:pPr>
            <w:r/>
            <w:r>
              <w:rPr>
                <w:rFonts w:eastAsia="微软雅黑"/>
                <w:b/>
                <w:color w:val="17365D"/>
                <w:sz w:val="22"/>
              </w:rPr>
              <w:t>校友与导师</w:t>
              <w:br/>
            </w:r>
            <w:r>
              <w:rPr>
                <w:rFonts w:eastAsia="微软雅黑"/>
                <w:color w:val="243447"/>
                <w:sz w:val="19"/>
              </w:rPr>
              <w:t>通过经验分享、主题交流和行业活动拓展学生视野。</w:t>
            </w:r>
          </w:p>
        </w:tc>
      </w:tr>
    </w:tbl>
    <w:p/>
    <w:p>
      <w:pPr>
        <w:pStyle w:val="Heading2"/>
      </w:pPr>
      <w:r>
        <w:t>6.3 服务边界</w:t>
      </w:r>
    </w:p>
    <w:p>
      <w:r>
        <w:t>所有支持均以教育咨询、信息共享、流程协调和资源连接为边界。涉及学校录取、签证审批、执业资格、岗位选择、薪资待遇或移民事项，应由相应主管部门、学校、雇主、持牌专业人士或学生本人依法办理。</w:t>
      </w:r>
    </w:p>
    <w:p>
      <w:r>
        <w:br w:type="page"/>
      </w:r>
    </w:p>
    <w:p>
      <w:pPr>
        <w:pStyle w:val="Heading1"/>
      </w:pPr>
      <w:r>
        <w:t>第七章  美国RN与全球职业发展视野</w:t>
      </w:r>
    </w:p>
    <w:p>
      <w:pPr>
        <w:pStyle w:val="Heading2"/>
      </w:pPr>
      <w:r>
        <w:t>7.1 美国RN的专业价值</w:t>
      </w:r>
    </w:p>
    <w:p>
      <w:r>
        <w:t>美国RN教育和执业体系强调标准化教育、临床能力、患者安全、专业伦理与持续教育。完成认可的护理教育并依法取得RN执照，可为护理人员在美国的专业成长以及未来了解其他国家和地区的资格转换路径奠定基础。</w:t>
      </w:r>
    </w:p>
    <w:p>
      <w:pPr>
        <w:pStyle w:val="Heading2"/>
      </w:pPr>
      <w:r>
        <w:t>7.2 面向全球的发展潜力</w:t>
      </w:r>
    </w:p>
    <w:p>
      <w:r>
        <w:t>护理人才需求具有国际性，但护士执照通常不能在国家之间自动通用。持有美国护理教育背景、RN执照或相关临床经验的人员，在申请加拿大、澳大利亚、新西兰、英国、新加坡及其他国家和地区的注册时，可能具备一定的教育与经验基础，但仍需接受当地监管机构的学历评估、语言测试、资格审查、考试、补充课程或其他程序。</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加拿大</w:t>
              <w:br/>
            </w:r>
            <w:r>
              <w:rPr>
                <w:rFonts w:eastAsia="微软雅黑"/>
                <w:color w:val="243447"/>
                <w:sz w:val="19"/>
              </w:rPr>
              <w:t>关注省级护理监管机构、学历认证、语言与注册要求。</w:t>
            </w:r>
          </w:p>
        </w:tc>
        <w:tc>
          <w:tcPr>
            <w:tcW w:type="dxa" w:w="5040"/>
            <w:shd w:fill="F2F4F7"/>
            <w:tcMar>
              <w:top w:w="130" w:type="dxa"/>
              <w:start w:w="150" w:type="dxa"/>
              <w:bottom w:w="130" w:type="dxa"/>
              <w:end w:w="150" w:type="dxa"/>
            </w:tcMar>
          </w:tcPr>
          <w:p>
            <w:pPr>
              <w:jc w:val="left"/>
            </w:pPr>
            <w:r/>
            <w:r>
              <w:rPr>
                <w:rFonts w:eastAsia="微软雅黑"/>
                <w:b/>
                <w:color w:val="17365D"/>
                <w:sz w:val="22"/>
              </w:rPr>
              <w:t>澳大利亚</w:t>
              <w:br/>
            </w:r>
            <w:r>
              <w:rPr>
                <w:rFonts w:eastAsia="微软雅黑"/>
                <w:color w:val="243447"/>
                <w:sz w:val="19"/>
              </w:rPr>
              <w:t>关注护理与助产监管体系、学历和语言标准及注册流程。</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新西兰</w:t>
              <w:br/>
            </w:r>
            <w:r>
              <w:rPr>
                <w:rFonts w:eastAsia="微软雅黑"/>
                <w:color w:val="243447"/>
                <w:sz w:val="19"/>
              </w:rPr>
              <w:t>关注护理委员会的资格评估、能力与英语要求。</w:t>
            </w:r>
          </w:p>
        </w:tc>
        <w:tc>
          <w:tcPr>
            <w:tcW w:type="dxa" w:w="5040"/>
            <w:shd w:fill="F2F4F7"/>
            <w:tcMar>
              <w:top w:w="130" w:type="dxa"/>
              <w:start w:w="150" w:type="dxa"/>
              <w:bottom w:w="130" w:type="dxa"/>
              <w:end w:w="150" w:type="dxa"/>
            </w:tcMar>
          </w:tcPr>
          <w:p>
            <w:pPr>
              <w:jc w:val="left"/>
            </w:pPr>
            <w:r/>
            <w:r>
              <w:rPr>
                <w:rFonts w:eastAsia="微软雅黑"/>
                <w:b/>
                <w:color w:val="17365D"/>
                <w:sz w:val="22"/>
              </w:rPr>
              <w:t>英国</w:t>
              <w:br/>
            </w:r>
            <w:r>
              <w:rPr>
                <w:rFonts w:eastAsia="微软雅黑"/>
                <w:color w:val="243447"/>
                <w:sz w:val="19"/>
              </w:rPr>
              <w:t>关注护理与助产委员会的注册、语言和能力评估要求。</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新加坡及亚洲地区</w:t>
              <w:br/>
            </w:r>
            <w:r>
              <w:rPr>
                <w:rFonts w:eastAsia="微软雅黑"/>
                <w:color w:val="243447"/>
                <w:sz w:val="19"/>
              </w:rPr>
              <w:t>根据当地护理监管机构和雇主制度了解注册、语言和岗位条件。</w:t>
            </w:r>
          </w:p>
        </w:tc>
        <w:tc>
          <w:tcPr>
            <w:tcW w:type="dxa" w:w="5040"/>
            <w:shd w:fill="F2F4F7"/>
            <w:tcMar>
              <w:top w:w="130" w:type="dxa"/>
              <w:start w:w="150" w:type="dxa"/>
              <w:bottom w:w="130" w:type="dxa"/>
              <w:end w:w="150" w:type="dxa"/>
            </w:tcMar>
          </w:tcPr>
          <w:p>
            <w:pPr>
              <w:jc w:val="left"/>
            </w:pPr>
            <w:r/>
            <w:r>
              <w:rPr>
                <w:rFonts w:eastAsia="微软雅黑"/>
                <w:b/>
                <w:color w:val="17365D"/>
                <w:sz w:val="22"/>
              </w:rPr>
              <w:t>中东及其他地区</w:t>
              <w:br/>
            </w:r>
            <w:r>
              <w:rPr>
                <w:rFonts w:eastAsia="微软雅黑"/>
                <w:color w:val="243447"/>
                <w:sz w:val="19"/>
              </w:rPr>
              <w:t>依据目的地国家的监管、认证、健康和雇佣制度进行判断。</w:t>
            </w:r>
          </w:p>
        </w:tc>
      </w:tr>
    </w:tbl>
    <w:p/>
    <w:p>
      <w:pPr>
        <w:pStyle w:val="Heading2"/>
      </w:pPr>
      <w:r>
        <w:t>7.3 正确理解“全球发展”</w:t>
      </w:r>
    </w:p>
    <w:p>
      <w:pPr>
        <w:pStyle w:val="ListBullet"/>
      </w:pPr>
      <w:r>
        <w:t>不是“一张美国RN执照全球通用”，而是美国教育与执业经历可能成为申请其他地区资格的重要基础；</w:t>
      </w:r>
    </w:p>
    <w:p>
      <w:pPr>
        <w:pStyle w:val="ListBullet"/>
      </w:pPr>
      <w:r>
        <w:t>不是承诺海外就业，而是帮助学生了解各地区政策、资格、行业和继续教育信息；</w:t>
      </w:r>
    </w:p>
    <w:p>
      <w:pPr>
        <w:pStyle w:val="ListBullet"/>
      </w:pPr>
      <w:r>
        <w:t>不是替代个人决策，而是拓宽信息来源，为学生自主比较和选择提供参考；</w:t>
      </w:r>
    </w:p>
    <w:p>
      <w:pPr>
        <w:pStyle w:val="ListBullet"/>
      </w:pPr>
      <w:r>
        <w:t>所有国际发展均应以目的地国家和地区最新法律法规、主管机构要求及个人实际条件为准。</w:t>
      </w:r>
    </w:p>
    <w:p>
      <w:pPr>
        <w:pStyle w:val="QuoteBox"/>
      </w:pPr>
      <w:r>
        <w:t>项目希望赋予学生的，不只是一个阶段性的资格目标，而是一种面向全球、持续学习和自主规划的能力。</w:t>
      </w:r>
    </w:p>
    <w:p>
      <w:r>
        <w:br w:type="page"/>
      </w:r>
    </w:p>
    <w:p>
      <w:pPr>
        <w:pStyle w:val="Heading1"/>
      </w:pPr>
      <w:r>
        <w:t>第八章  GCCA全球学术与职业发展资源平台</w:t>
      </w:r>
    </w:p>
    <w:p>
      <w:pPr>
        <w:pStyle w:val="Heading2"/>
      </w:pPr>
      <w:r>
        <w:t>8.1 平台战略定位</w:t>
      </w:r>
    </w:p>
    <w:p>
      <w:r>
        <w:t>为支持NTP学生长期发展，GCCA将持续建设“全球学术与职业发展资源平台（Global Academic &amp; Career Development Platform）”。平台不是就业中介平台，而是一个面向学生、院校、行业组织、合作机构、导师和校友的资源汇聚与信息连接平台。</w:t>
      </w:r>
    </w:p>
    <w:p>
      <w:pPr>
        <w:pStyle w:val="Heading2"/>
      </w:pPr>
      <w:r>
        <w:t>8.2 四项核心功能</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资源整合</w:t>
              <w:br/>
            </w:r>
            <w:r>
              <w:rPr>
                <w:rFonts w:eastAsia="微软雅黑"/>
                <w:color w:val="243447"/>
                <w:sz w:val="19"/>
              </w:rPr>
              <w:t>汇聚全球院校、护理监管机构、行业组织、医疗健康机构及合作伙伴公开资源。</w:t>
            </w:r>
          </w:p>
        </w:tc>
        <w:tc>
          <w:tcPr>
            <w:tcW w:type="dxa" w:w="5040"/>
            <w:shd w:fill="F2F4F7"/>
            <w:tcMar>
              <w:top w:w="130" w:type="dxa"/>
              <w:start w:w="150" w:type="dxa"/>
              <w:bottom w:w="130" w:type="dxa"/>
              <w:end w:w="150" w:type="dxa"/>
            </w:tcMar>
          </w:tcPr>
          <w:p>
            <w:pPr>
              <w:jc w:val="left"/>
            </w:pPr>
            <w:r/>
            <w:r>
              <w:rPr>
                <w:rFonts w:eastAsia="微软雅黑"/>
                <w:b/>
                <w:color w:val="17365D"/>
                <w:sz w:val="22"/>
              </w:rPr>
              <w:t>信息共享</w:t>
              <w:br/>
            </w:r>
            <w:r>
              <w:rPr>
                <w:rFonts w:eastAsia="微软雅黑"/>
                <w:color w:val="243447"/>
                <w:sz w:val="19"/>
              </w:rPr>
              <w:t>持续提供教育路径、执业资格、继续教育、行业趋势和国际交流等信息。</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国际连接</w:t>
              <w:br/>
            </w:r>
            <w:r>
              <w:rPr>
                <w:rFonts w:eastAsia="微软雅黑"/>
                <w:color w:val="243447"/>
                <w:sz w:val="19"/>
              </w:rPr>
              <w:t>促进学生与院校、导师、校友、行业组织及合作伙伴之间的交流。</w:t>
            </w:r>
          </w:p>
        </w:tc>
        <w:tc>
          <w:tcPr>
            <w:tcW w:type="dxa" w:w="5040"/>
            <w:shd w:fill="F2F4F7"/>
            <w:tcMar>
              <w:top w:w="130" w:type="dxa"/>
              <w:start w:w="150" w:type="dxa"/>
              <w:bottom w:w="130" w:type="dxa"/>
              <w:end w:w="150" w:type="dxa"/>
            </w:tcMar>
          </w:tcPr>
          <w:p>
            <w:pPr>
              <w:jc w:val="left"/>
            </w:pPr>
            <w:r/>
            <w:r>
              <w:rPr>
                <w:rFonts w:eastAsia="微软雅黑"/>
                <w:b/>
                <w:color w:val="17365D"/>
                <w:sz w:val="22"/>
              </w:rPr>
              <w:t>发展支持</w:t>
              <w:br/>
            </w:r>
            <w:r>
              <w:rPr>
                <w:rFonts w:eastAsia="微软雅黑"/>
                <w:color w:val="243447"/>
                <w:sz w:val="19"/>
              </w:rPr>
              <w:t>帮助学生拓展视野、完善规划、识别机会与要求，但不替代求职或专业法律服务。</w:t>
            </w:r>
          </w:p>
        </w:tc>
      </w:tr>
    </w:tbl>
    <w:p/>
    <w:p>
      <w:pPr>
        <w:pStyle w:val="Heading2"/>
      </w:pPr>
      <w:r>
        <w:t>8.3 平台重点资源内容</w:t>
      </w:r>
    </w:p>
    <w:p>
      <w:pPr>
        <w:pStyle w:val="ListBullet"/>
      </w:pPr>
      <w:r>
        <w:t>全球护理行业趋势、研究与政策动态；</w:t>
      </w:r>
    </w:p>
    <w:p>
      <w:pPr>
        <w:pStyle w:val="ListBullet"/>
      </w:pPr>
      <w:r>
        <w:t>不同国家和地区护士注册、资格评估、语言及继续教育信息；</w:t>
      </w:r>
    </w:p>
    <w:p>
      <w:pPr>
        <w:pStyle w:val="ListBullet"/>
      </w:pPr>
      <w:r>
        <w:t>社区大学、大学及专业教育项目公开信息；</w:t>
      </w:r>
    </w:p>
    <w:p>
      <w:pPr>
        <w:pStyle w:val="ListBullet"/>
      </w:pPr>
      <w:r>
        <w:t>护理、养老、康复、社区健康、家庭照护和健康管理等行业资讯；</w:t>
      </w:r>
    </w:p>
    <w:p>
      <w:pPr>
        <w:pStyle w:val="ListBullet"/>
      </w:pPr>
      <w:r>
        <w:t>学术会议、专业论坛、培训项目和国际交流资讯；</w:t>
      </w:r>
    </w:p>
    <w:p>
      <w:pPr>
        <w:pStyle w:val="ListBullet"/>
      </w:pPr>
      <w:r>
        <w:t>合作机构及行业组织发布的公开信息；</w:t>
      </w:r>
    </w:p>
    <w:p>
      <w:pPr>
        <w:pStyle w:val="ListBullet"/>
      </w:pPr>
      <w:r>
        <w:t>导师、专家和校友的经验分享；</w:t>
      </w:r>
    </w:p>
    <w:p>
      <w:pPr>
        <w:pStyle w:val="ListBullet"/>
      </w:pPr>
      <w:r>
        <w:t>职业素养、简历准备、面试认知和跨文化沟通等通用发展内容。</w:t>
      </w:r>
    </w:p>
    <w:p>
      <w:pPr>
        <w:pStyle w:val="Heading2"/>
      </w:pPr>
      <w:r>
        <w:t>8.4 平台与NTP的关系</w:t>
      </w:r>
    </w:p>
    <w:p>
      <w:pPr>
        <w:pStyle w:val="ListBullet"/>
      </w:pPr>
      <w:r>
        <w:t>NTP项目：提供护理人才培养主路径和学生全周期支持；</w:t>
      </w:r>
    </w:p>
    <w:p>
      <w:pPr>
        <w:pStyle w:val="ListBullet"/>
      </w:pPr>
      <w:r>
        <w:t>GCCA资源平台：提供面向全球的教育、资格、行业与发展信息；</w:t>
      </w:r>
    </w:p>
    <w:p>
      <w:pPr>
        <w:pStyle w:val="ListBullet"/>
      </w:pPr>
      <w:r>
        <w:t>院校与合作机构：提供合规教育项目、学术资源和交流渠道；</w:t>
      </w:r>
    </w:p>
    <w:p>
      <w:pPr>
        <w:pStyle w:val="ListBullet"/>
      </w:pPr>
      <w:r>
        <w:t>学生本人：依据个人资格、兴趣、风险承受能力与目标自主决策。</w:t>
      </w:r>
    </w:p>
    <w:p>
      <w:r>
        <w:br w:type="page"/>
      </w:r>
    </w:p>
    <w:p>
      <w:pPr>
        <w:pStyle w:val="Heading1"/>
      </w:pPr>
      <w:r>
        <w:t>第九章  数字资源平台与功能规划</w:t>
      </w:r>
    </w:p>
    <w:p>
      <w:pPr>
        <w:pStyle w:val="Heading2"/>
      </w:pPr>
      <w:r>
        <w:t>9.1 建设方向</w:t>
      </w:r>
    </w:p>
    <w:p>
      <w:r>
        <w:t>GCCA将根据项目发展和合作资源成熟度，逐步建设数字化资源平台，使NTP学生能够更加便捷地获取课程、学校、资格、行业和国际发展信息。平台建设将坚持分阶段、重合规、重真实性、重信息来源的原则。</w:t>
      </w:r>
    </w:p>
    <w:p>
      <w:pPr>
        <w:pStyle w:val="Heading2"/>
      </w:pPr>
      <w:r>
        <w:t>9.2 规划功能</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学生中心</w:t>
              <w:br/>
            </w:r>
            <w:r>
              <w:rPr>
                <w:rFonts w:eastAsia="微软雅黑"/>
                <w:color w:val="243447"/>
                <w:sz w:val="19"/>
              </w:rPr>
              <w:t>个人学习路径、资料清单、阶段提醒与资源收藏。</w:t>
            </w:r>
          </w:p>
        </w:tc>
        <w:tc>
          <w:tcPr>
            <w:tcW w:type="dxa" w:w="5040"/>
            <w:shd w:fill="F2F4F7"/>
            <w:tcMar>
              <w:top w:w="130" w:type="dxa"/>
              <w:start w:w="150" w:type="dxa"/>
              <w:bottom w:w="130" w:type="dxa"/>
              <w:end w:w="150" w:type="dxa"/>
            </w:tcMar>
          </w:tcPr>
          <w:p>
            <w:pPr>
              <w:jc w:val="left"/>
            </w:pPr>
            <w:r/>
            <w:r>
              <w:rPr>
                <w:rFonts w:eastAsia="微软雅黑"/>
                <w:b/>
                <w:color w:val="17365D"/>
                <w:sz w:val="22"/>
              </w:rPr>
              <w:t>院校中心</w:t>
              <w:br/>
            </w:r>
            <w:r>
              <w:rPr>
                <w:rFonts w:eastAsia="微软雅黑"/>
                <w:color w:val="243447"/>
                <w:sz w:val="19"/>
              </w:rPr>
              <w:t>合作院校、课程路径、入学要求与公开项目信息。</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资格信息库</w:t>
              <w:br/>
            </w:r>
            <w:r>
              <w:rPr>
                <w:rFonts w:eastAsia="微软雅黑"/>
                <w:color w:val="243447"/>
                <w:sz w:val="19"/>
              </w:rPr>
              <w:t>美国各州及其他国家和地区护理资格与注册信息索引。</w:t>
            </w:r>
          </w:p>
        </w:tc>
        <w:tc>
          <w:tcPr>
            <w:tcW w:type="dxa" w:w="5040"/>
            <w:shd w:fill="F2F4F7"/>
            <w:tcMar>
              <w:top w:w="130" w:type="dxa"/>
              <w:start w:w="150" w:type="dxa"/>
              <w:bottom w:w="130" w:type="dxa"/>
              <w:end w:w="150" w:type="dxa"/>
            </w:tcMar>
          </w:tcPr>
          <w:p>
            <w:pPr>
              <w:jc w:val="left"/>
            </w:pPr>
            <w:r/>
            <w:r>
              <w:rPr>
                <w:rFonts w:eastAsia="微软雅黑"/>
                <w:b/>
                <w:color w:val="17365D"/>
                <w:sz w:val="22"/>
              </w:rPr>
              <w:t>行业资讯库</w:t>
              <w:br/>
            </w:r>
            <w:r>
              <w:rPr>
                <w:rFonts w:eastAsia="微软雅黑"/>
                <w:color w:val="243447"/>
                <w:sz w:val="19"/>
              </w:rPr>
              <w:t>护理、养老、医疗健康与技术发展趋势。</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导师与校友中心</w:t>
              <w:br/>
            </w:r>
            <w:r>
              <w:rPr>
                <w:rFonts w:eastAsia="微软雅黑"/>
                <w:color w:val="243447"/>
                <w:sz w:val="19"/>
              </w:rPr>
              <w:t>主题分享、经验交流、专业成长故事。</w:t>
            </w:r>
          </w:p>
        </w:tc>
        <w:tc>
          <w:tcPr>
            <w:tcW w:type="dxa" w:w="5040"/>
            <w:shd w:fill="F2F4F7"/>
            <w:tcMar>
              <w:top w:w="130" w:type="dxa"/>
              <w:start w:w="150" w:type="dxa"/>
              <w:bottom w:w="130" w:type="dxa"/>
              <w:end w:w="150" w:type="dxa"/>
            </w:tcMar>
          </w:tcPr>
          <w:p>
            <w:pPr>
              <w:jc w:val="left"/>
            </w:pPr>
            <w:r/>
            <w:r>
              <w:rPr>
                <w:rFonts w:eastAsia="微软雅黑"/>
                <w:b/>
                <w:color w:val="17365D"/>
                <w:sz w:val="22"/>
              </w:rPr>
              <w:t>国际交流中心</w:t>
              <w:br/>
            </w:r>
            <w:r>
              <w:rPr>
                <w:rFonts w:eastAsia="微软雅黑"/>
                <w:color w:val="243447"/>
                <w:sz w:val="19"/>
              </w:rPr>
              <w:t>论坛、会议、培训与学术活动信息。</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合作伙伴中心</w:t>
              <w:br/>
            </w:r>
            <w:r>
              <w:rPr>
                <w:rFonts w:eastAsia="微软雅黑"/>
                <w:color w:val="243447"/>
                <w:sz w:val="19"/>
              </w:rPr>
              <w:t>机构公开资源、活动与合作信息展示。</w:t>
            </w:r>
          </w:p>
        </w:tc>
        <w:tc>
          <w:tcPr>
            <w:tcW w:type="dxa" w:w="5040"/>
            <w:shd w:fill="F2F4F7"/>
            <w:tcMar>
              <w:top w:w="130" w:type="dxa"/>
              <w:start w:w="150" w:type="dxa"/>
              <w:bottom w:w="130" w:type="dxa"/>
              <w:end w:w="150" w:type="dxa"/>
            </w:tcMar>
          </w:tcPr>
          <w:p>
            <w:pPr>
              <w:jc w:val="left"/>
            </w:pPr>
            <w:r/>
            <w:r>
              <w:rPr>
                <w:rFonts w:eastAsia="微软雅黑"/>
                <w:b/>
                <w:color w:val="17365D"/>
                <w:sz w:val="22"/>
              </w:rPr>
              <w:t>AI信息助手（规划）</w:t>
              <w:br/>
            </w:r>
            <w:r>
              <w:rPr>
                <w:rFonts w:eastAsia="微软雅黑"/>
                <w:color w:val="243447"/>
                <w:sz w:val="19"/>
              </w:rPr>
              <w:t>帮助用户检索、归纳和比较公开信息，不替代法律、移民、执业或就业专业判断。</w:t>
            </w:r>
          </w:p>
        </w:tc>
      </w:tr>
    </w:tbl>
    <w:p/>
    <w:p>
      <w:pPr>
        <w:pStyle w:val="Heading2"/>
      </w:pPr>
      <w:r>
        <w:t>9.3 信息治理原则</w:t>
      </w:r>
    </w:p>
    <w:p>
      <w:pPr>
        <w:pStyle w:val="ListBullet"/>
      </w:pPr>
      <w:r>
        <w:t>明确来源：重要政策和资格信息尽量链接至主管机构或学校官方来源；</w:t>
      </w:r>
    </w:p>
    <w:p>
      <w:pPr>
        <w:pStyle w:val="ListBullet"/>
      </w:pPr>
      <w:r>
        <w:t>及时更新：对可能变化的信息设置更新机制和日期提示；</w:t>
      </w:r>
    </w:p>
    <w:p>
      <w:pPr>
        <w:pStyle w:val="ListBullet"/>
      </w:pPr>
      <w:r>
        <w:t>风险提示：涉及执业、签证、就业和移民的信息明确提示专业边界；</w:t>
      </w:r>
    </w:p>
    <w:p>
      <w:pPr>
        <w:pStyle w:val="ListBullet"/>
      </w:pPr>
      <w:r>
        <w:t>隐私保护：依法保护学生信息，遵循最小必要原则；</w:t>
      </w:r>
    </w:p>
    <w:p>
      <w:pPr>
        <w:pStyle w:val="ListBullet"/>
      </w:pPr>
      <w:r>
        <w:t>不作保证：平台信息仅供规划参考，不构成结果承诺或专业法律意见。</w:t>
      </w:r>
    </w:p>
    <w:p>
      <w:r>
        <w:br w:type="page"/>
      </w:r>
    </w:p>
    <w:p>
      <w:pPr>
        <w:pStyle w:val="Heading1"/>
      </w:pPr>
      <w:r>
        <w:t>第十章  院校、机构与产业协同机制</w:t>
      </w:r>
    </w:p>
    <w:p>
      <w:pPr>
        <w:pStyle w:val="Heading2"/>
      </w:pPr>
      <w:r>
        <w:t>10.1 合作对象</w:t>
      </w:r>
    </w:p>
    <w:p>
      <w:pPr>
        <w:pStyle w:val="ListBullet"/>
      </w:pPr>
      <w:r>
        <w:t>国内职业院校、中职、高职和应用型院校；</w:t>
      </w:r>
    </w:p>
    <w:p>
      <w:pPr>
        <w:pStyle w:val="ListBullet"/>
      </w:pPr>
      <w:r>
        <w:t>美国社区大学及其他符合条件的教育机构；</w:t>
      </w:r>
    </w:p>
    <w:p>
      <w:pPr>
        <w:pStyle w:val="ListBullet"/>
      </w:pPr>
      <w:r>
        <w:t>护理、医疗健康、养老与康复相关行业组织；</w:t>
      </w:r>
    </w:p>
    <w:p>
      <w:pPr>
        <w:pStyle w:val="ListBullet"/>
      </w:pPr>
      <w:r>
        <w:t>提供语言、课程、学生支持和专业服务的合规机构；</w:t>
      </w:r>
    </w:p>
    <w:p>
      <w:pPr>
        <w:pStyle w:val="ListBullet"/>
      </w:pPr>
      <w:r>
        <w:t>专家、导师、校友和公益支持力量。</w:t>
      </w:r>
    </w:p>
    <w:p>
      <w:pPr>
        <w:pStyle w:val="Heading2"/>
      </w:pPr>
      <w:r>
        <w:t>10.2 合作原则</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平等互利</w:t>
              <w:br/>
            </w:r>
            <w:r>
              <w:rPr>
                <w:rFonts w:eastAsia="微软雅黑"/>
                <w:color w:val="243447"/>
                <w:sz w:val="19"/>
              </w:rPr>
              <w:t>明确职责、权利、成本和风险，建立可持续合作关系。</w:t>
            </w:r>
          </w:p>
        </w:tc>
        <w:tc>
          <w:tcPr>
            <w:tcW w:type="dxa" w:w="5040"/>
            <w:shd w:fill="F2F4F7"/>
            <w:tcMar>
              <w:top w:w="130" w:type="dxa"/>
              <w:start w:w="150" w:type="dxa"/>
              <w:bottom w:w="130" w:type="dxa"/>
              <w:end w:w="150" w:type="dxa"/>
            </w:tcMar>
          </w:tcPr>
          <w:p>
            <w:pPr>
              <w:jc w:val="left"/>
            </w:pPr>
            <w:r/>
            <w:r>
              <w:rPr>
                <w:rFonts w:eastAsia="微软雅黑"/>
                <w:b/>
                <w:color w:val="17365D"/>
                <w:sz w:val="22"/>
              </w:rPr>
              <w:t>教育为本</w:t>
              <w:br/>
            </w:r>
            <w:r>
              <w:rPr>
                <w:rFonts w:eastAsia="微软雅黑"/>
                <w:color w:val="243447"/>
                <w:sz w:val="19"/>
              </w:rPr>
              <w:t>所有合作以学生成长、教育质量和合规服务为前提。</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职责清晰</w:t>
              <w:br/>
            </w:r>
            <w:r>
              <w:rPr>
                <w:rFonts w:eastAsia="微软雅黑"/>
                <w:color w:val="243447"/>
                <w:sz w:val="19"/>
              </w:rPr>
              <w:t>招生信息、课程教学、学生支持、收费和第三方服务边界书面明确。</w:t>
            </w:r>
          </w:p>
        </w:tc>
        <w:tc>
          <w:tcPr>
            <w:tcW w:type="dxa" w:w="5040"/>
            <w:shd w:fill="F2F4F7"/>
            <w:tcMar>
              <w:top w:w="130" w:type="dxa"/>
              <w:start w:w="150" w:type="dxa"/>
              <w:bottom w:w="130" w:type="dxa"/>
              <w:end w:w="150" w:type="dxa"/>
            </w:tcMar>
          </w:tcPr>
          <w:p>
            <w:pPr>
              <w:jc w:val="left"/>
            </w:pPr>
            <w:r/>
            <w:r>
              <w:rPr>
                <w:rFonts w:eastAsia="微软雅黑"/>
                <w:b/>
                <w:color w:val="17365D"/>
                <w:sz w:val="22"/>
              </w:rPr>
              <w:t>信息透明</w:t>
              <w:br/>
            </w:r>
            <w:r>
              <w:rPr>
                <w:rFonts w:eastAsia="微软雅黑"/>
                <w:color w:val="243447"/>
                <w:sz w:val="19"/>
              </w:rPr>
              <w:t>项目要求、费用、风险和不确定性向合作方及学生充分披露。</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依法合规</w:t>
              <w:br/>
            </w:r>
            <w:r>
              <w:rPr>
                <w:rFonts w:eastAsia="微软雅黑"/>
                <w:color w:val="243447"/>
                <w:sz w:val="19"/>
              </w:rPr>
              <w:t>遵守中国、美国及相关国家和地区法律法规和监管要求。</w:t>
            </w:r>
          </w:p>
        </w:tc>
        <w:tc>
          <w:tcPr>
            <w:tcW w:type="dxa" w:w="5040"/>
            <w:shd w:fill="F2F4F7"/>
            <w:tcMar>
              <w:top w:w="130" w:type="dxa"/>
              <w:start w:w="150" w:type="dxa"/>
              <w:bottom w:w="130" w:type="dxa"/>
              <w:end w:w="150" w:type="dxa"/>
            </w:tcMar>
          </w:tcPr>
          <w:p>
            <w:pPr>
              <w:jc w:val="left"/>
            </w:pPr>
            <w:r/>
            <w:r>
              <w:rPr>
                <w:rFonts w:eastAsia="微软雅黑"/>
                <w:b/>
                <w:color w:val="17365D"/>
                <w:sz w:val="22"/>
              </w:rPr>
              <w:t>持续评估</w:t>
              <w:br/>
            </w:r>
            <w:r>
              <w:rPr>
                <w:rFonts w:eastAsia="微软雅黑"/>
                <w:color w:val="243447"/>
                <w:sz w:val="19"/>
              </w:rPr>
              <w:t>定期复核教育质量、学生反馈、合作履约和合规风险。</w:t>
            </w:r>
          </w:p>
        </w:tc>
      </w:tr>
    </w:tbl>
    <w:p/>
    <w:p>
      <w:pPr>
        <w:pStyle w:val="Heading2"/>
      </w:pPr>
      <w:r>
        <w:t>10.3 协同分工框架</w:t>
      </w:r>
    </w:p>
    <w:tbl>
      <w:tblPr>
        <w:tblW w:type="auto" w:w="0"/>
        <w:jc w:val="center"/>
        <w:tblLook w:firstColumn="1" w:firstRow="1" w:lastColumn="0" w:lastRow="0" w:noHBand="0" w:noVBand="1" w:val="04A0"/>
      </w:tblPr>
      <w:tblGrid>
        <w:gridCol w:w="3360"/>
        <w:gridCol w:w="3360"/>
        <w:gridCol w:w="3360"/>
      </w:tblGrid>
      <w:tr>
        <w:trPr>
          <w:tblHeader w:val="true"/>
        </w:trPr>
        <w:tc>
          <w:tcPr>
            <w:tcW w:type="dxa" w:w="3360"/>
            <w:shd w:fill="1F4E78"/>
            <w:vAlign w:val="center"/>
            <w:tcMar>
              <w:top w:w="90" w:type="dxa"/>
              <w:start w:w="120" w:type="dxa"/>
              <w:bottom w:w="90" w:type="dxa"/>
              <w:end w:w="120" w:type="dxa"/>
            </w:tcMar>
          </w:tcPr>
          <w:p>
            <w:pPr>
              <w:jc w:val="center"/>
            </w:pPr>
            <w:r/>
            <w:r>
              <w:rPr>
                <w:rFonts w:ascii="Aptos" w:hAnsi="Aptos" w:eastAsia="微软雅黑"/>
                <w:b/>
                <w:color w:val="FFFFFF"/>
                <w:sz w:val="21"/>
              </w:rPr>
              <w:t>国内合作方</w:t>
            </w:r>
          </w:p>
        </w:tc>
        <w:tc>
          <w:tcPr>
            <w:tcW w:type="dxa" w:w="3360"/>
            <w:shd w:fill="1F4E78"/>
            <w:vAlign w:val="center"/>
            <w:tcMar>
              <w:top w:w="90" w:type="dxa"/>
              <w:start w:w="120" w:type="dxa"/>
              <w:bottom w:w="90" w:type="dxa"/>
              <w:end w:w="120" w:type="dxa"/>
            </w:tcMar>
          </w:tcPr>
          <w:p>
            <w:pPr>
              <w:jc w:val="center"/>
            </w:pPr>
            <w:r/>
            <w:r>
              <w:rPr>
                <w:rFonts w:ascii="Aptos" w:hAnsi="Aptos" w:eastAsia="微软雅黑"/>
                <w:b/>
                <w:color w:val="FFFFFF"/>
                <w:sz w:val="21"/>
              </w:rPr>
              <w:t>GCCA平台</w:t>
            </w:r>
          </w:p>
        </w:tc>
        <w:tc>
          <w:tcPr>
            <w:tcW w:type="dxa" w:w="3360"/>
            <w:shd w:fill="1F4E78"/>
            <w:vAlign w:val="center"/>
            <w:tcMar>
              <w:top w:w="90" w:type="dxa"/>
              <w:start w:w="120" w:type="dxa"/>
              <w:bottom w:w="90" w:type="dxa"/>
              <w:end w:w="120" w:type="dxa"/>
            </w:tcMar>
          </w:tcPr>
          <w:p>
            <w:pPr>
              <w:jc w:val="center"/>
            </w:pPr>
            <w:r/>
            <w:r>
              <w:rPr>
                <w:rFonts w:ascii="Aptos" w:hAnsi="Aptos" w:eastAsia="微软雅黑"/>
                <w:b/>
                <w:color w:val="FFFFFF"/>
                <w:sz w:val="21"/>
              </w:rPr>
              <w:t>美国院校及专业机构</w:t>
            </w:r>
          </w:p>
        </w:tc>
      </w:tr>
      <w:tr>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9"/>
              </w:rPr>
              <w:t>项目介绍、学生沟通、国内准备支持</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9"/>
              </w:rPr>
              <w:t>国际项目协调、资源整合、学生支持与信息平台</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9"/>
              </w:rPr>
              <w:t>招生审核、课程教学、学术评价与校内资源</w:t>
            </w:r>
          </w:p>
        </w:tc>
      </w:tr>
      <w:tr>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9"/>
              </w:rPr>
              <w:t>合规宣传、材料收集、基础课程协同</w:t>
            </w:r>
          </w:p>
        </w:tc>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9"/>
              </w:rPr>
              <w:t>路径规划、跨境沟通、信息共享与合作管理</w:t>
            </w:r>
          </w:p>
        </w:tc>
        <w:tc>
          <w:tcPr>
            <w:tcW w:type="dxa" w:w="3360"/>
            <w:shd w:fill="F2F4F7"/>
            <w:vAlign w:val="center"/>
            <w:tcMar>
              <w:top w:w="90" w:type="dxa"/>
              <w:start w:w="120" w:type="dxa"/>
              <w:bottom w:w="90" w:type="dxa"/>
              <w:end w:w="120" w:type="dxa"/>
            </w:tcMar>
          </w:tcPr>
          <w:p>
            <w:pPr>
              <w:jc w:val="left"/>
            </w:pPr>
            <w:r/>
            <w:r>
              <w:rPr>
                <w:rFonts w:ascii="Aptos" w:hAnsi="Aptos" w:eastAsia="微软雅黑"/>
                <w:b w:val="0"/>
                <w:color w:val="243447"/>
                <w:sz w:val="19"/>
              </w:rPr>
              <w:t>临床教学、成绩管理、毕业与学校政策执行</w:t>
            </w:r>
          </w:p>
        </w:tc>
      </w:tr>
      <w:tr>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9"/>
              </w:rPr>
              <w:t>不作录取、签证、就业或移民承诺</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9"/>
              </w:rPr>
              <w:t>不提供就业安排或移民服务</w:t>
            </w:r>
          </w:p>
        </w:tc>
        <w:tc>
          <w:tcPr>
            <w:tcW w:type="dxa" w:w="3360"/>
            <w:shd w:fill="D9EAF7"/>
            <w:vAlign w:val="center"/>
            <w:tcMar>
              <w:top w:w="90" w:type="dxa"/>
              <w:start w:w="120" w:type="dxa"/>
              <w:bottom w:w="90" w:type="dxa"/>
              <w:end w:w="120" w:type="dxa"/>
            </w:tcMar>
          </w:tcPr>
          <w:p>
            <w:pPr>
              <w:jc w:val="left"/>
            </w:pPr>
            <w:r/>
            <w:r>
              <w:rPr>
                <w:rFonts w:ascii="Aptos" w:hAnsi="Aptos" w:eastAsia="微软雅黑"/>
                <w:b w:val="0"/>
                <w:color w:val="243447"/>
                <w:sz w:val="19"/>
              </w:rPr>
              <w:t>依据自身政策和监管要求独立决定</w:t>
            </w:r>
          </w:p>
        </w:tc>
      </w:tr>
    </w:tbl>
    <w:p>
      <w:r>
        <w:br w:type="page"/>
      </w:r>
    </w:p>
    <w:p>
      <w:pPr>
        <w:pStyle w:val="Heading1"/>
      </w:pPr>
      <w:r>
        <w:t>第十一章  项目核心优势</w:t>
      </w:r>
    </w:p>
    <w:tbl>
      <w:tblPr>
        <w:tblW w:type="auto" w:w="0"/>
        <w:jc w:val="center"/>
        <w:tblLayout w:type="fixed"/>
        <w:tblLook w:firstColumn="1" w:firstRow="1" w:lastColumn="0" w:lastRow="0" w:noHBand="0" w:noVBand="1" w:val="04A0"/>
      </w:tblPr>
      <w:tblGrid>
        <w:gridCol w:w="5040"/>
        <w:gridCol w:w="5040"/>
      </w:tblGrid>
      <w:tr>
        <w:tc>
          <w:tcPr>
            <w:tcW w:type="dxa" w:w="5040"/>
            <w:shd w:fill="D9EAF7"/>
            <w:tcMar>
              <w:top w:w="130" w:type="dxa"/>
              <w:start w:w="150" w:type="dxa"/>
              <w:bottom w:w="130" w:type="dxa"/>
              <w:end w:w="150" w:type="dxa"/>
            </w:tcMar>
          </w:tcPr>
          <w:p>
            <w:pPr>
              <w:jc w:val="left"/>
            </w:pPr>
            <w:r/>
            <w:r>
              <w:rPr>
                <w:rFonts w:eastAsia="微软雅黑"/>
                <w:b/>
                <w:color w:val="17365D"/>
                <w:sz w:val="22"/>
              </w:rPr>
              <w:t>联盟特色班（ACP）</w:t>
              <w:br/>
            </w:r>
            <w:r>
              <w:rPr>
                <w:rFonts w:eastAsia="微软雅黑"/>
                <w:color w:val="243447"/>
                <w:sz w:val="19"/>
              </w:rPr>
              <w:t>在符合院校政策和教学资源条件的前提下，采用统一组织、计划培养、课程衔接和学习共同体支持模式。</w:t>
            </w:r>
          </w:p>
        </w:tc>
        <w:tc>
          <w:tcPr>
            <w:tcW w:type="dxa" w:w="5040"/>
            <w:shd w:fill="F2F4F7"/>
            <w:tcMar>
              <w:top w:w="130" w:type="dxa"/>
              <w:start w:w="150" w:type="dxa"/>
              <w:bottom w:w="130" w:type="dxa"/>
              <w:end w:w="150" w:type="dxa"/>
            </w:tcMar>
          </w:tcPr>
          <w:p>
            <w:pPr>
              <w:jc w:val="left"/>
            </w:pPr>
            <w:r/>
            <w:r>
              <w:rPr>
                <w:rFonts w:eastAsia="微软雅黑"/>
                <w:b/>
                <w:color w:val="17365D"/>
                <w:sz w:val="22"/>
              </w:rPr>
              <w:t>路径系统</w:t>
              <w:br/>
            </w:r>
            <w:r>
              <w:rPr>
                <w:rFonts w:eastAsia="微软雅黑"/>
                <w:color w:val="243447"/>
                <w:sz w:val="19"/>
              </w:rPr>
              <w:t>将语言、先修课程、社区大学、护理执业、学历提升和长期发展形成一体化路线。</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教育与职业并重</w:t>
              <w:br/>
            </w:r>
            <w:r>
              <w:rPr>
                <w:rFonts w:eastAsia="微软雅黑"/>
                <w:color w:val="243447"/>
                <w:sz w:val="19"/>
              </w:rPr>
              <w:t>不仅关注入学和毕业，也关注专业能力、执业认知、继续教育和职业素养。</w:t>
            </w:r>
          </w:p>
        </w:tc>
        <w:tc>
          <w:tcPr>
            <w:tcW w:type="dxa" w:w="5040"/>
            <w:shd w:fill="F2F4F7"/>
            <w:tcMar>
              <w:top w:w="130" w:type="dxa"/>
              <w:start w:w="150" w:type="dxa"/>
              <w:bottom w:w="130" w:type="dxa"/>
              <w:end w:w="150" w:type="dxa"/>
            </w:tcMar>
          </w:tcPr>
          <w:p>
            <w:pPr>
              <w:jc w:val="left"/>
            </w:pPr>
            <w:r/>
            <w:r>
              <w:rPr>
                <w:rFonts w:eastAsia="微软雅黑"/>
                <w:b/>
                <w:color w:val="17365D"/>
                <w:sz w:val="22"/>
              </w:rPr>
              <w:t>美国社区大学特色</w:t>
              <w:br/>
            </w:r>
            <w:r>
              <w:rPr>
                <w:rFonts w:eastAsia="微软雅黑"/>
                <w:color w:val="243447"/>
                <w:sz w:val="19"/>
              </w:rPr>
              <w:t>发挥社区大学应用型、普惠型和与地方产业联系紧密的教育优势。</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全球发展视野</w:t>
              <w:br/>
            </w:r>
            <w:r>
              <w:rPr>
                <w:rFonts w:eastAsia="微软雅黑"/>
                <w:color w:val="243447"/>
                <w:sz w:val="19"/>
              </w:rPr>
              <w:t>帮助学生了解不同国家和地区的资格、教育与行业信息，拓展长期选择。</w:t>
            </w:r>
          </w:p>
        </w:tc>
        <w:tc>
          <w:tcPr>
            <w:tcW w:type="dxa" w:w="5040"/>
            <w:shd w:fill="F2F4F7"/>
            <w:tcMar>
              <w:top w:w="130" w:type="dxa"/>
              <w:start w:w="150" w:type="dxa"/>
              <w:bottom w:w="130" w:type="dxa"/>
              <w:end w:w="150" w:type="dxa"/>
            </w:tcMar>
          </w:tcPr>
          <w:p>
            <w:pPr>
              <w:jc w:val="left"/>
            </w:pPr>
            <w:r/>
            <w:r>
              <w:rPr>
                <w:rFonts w:eastAsia="微软雅黑"/>
                <w:b/>
                <w:color w:val="17365D"/>
                <w:sz w:val="22"/>
              </w:rPr>
              <w:t>平台化资源支持</w:t>
              <w:br/>
            </w:r>
            <w:r>
              <w:rPr>
                <w:rFonts w:eastAsia="微软雅黑"/>
                <w:color w:val="243447"/>
                <w:sz w:val="19"/>
              </w:rPr>
              <w:t>通过GCCA平台持续汇聚院校、行业、导师、校友和公开信息资源。</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全周期学生支持</w:t>
              <w:br/>
            </w:r>
            <w:r>
              <w:rPr>
                <w:rFonts w:eastAsia="微软雅黑"/>
                <w:color w:val="243447"/>
                <w:sz w:val="19"/>
              </w:rPr>
              <w:t>覆盖国内准备、赴美过渡、学习适应、资格认知、继续深造和校友发展。</w:t>
            </w:r>
          </w:p>
        </w:tc>
        <w:tc>
          <w:tcPr>
            <w:tcW w:type="dxa" w:w="5040"/>
            <w:shd w:fill="F2F4F7"/>
            <w:tcMar>
              <w:top w:w="130" w:type="dxa"/>
              <w:start w:w="150" w:type="dxa"/>
              <w:bottom w:w="130" w:type="dxa"/>
              <w:end w:w="150" w:type="dxa"/>
            </w:tcMar>
          </w:tcPr>
          <w:p>
            <w:pPr>
              <w:jc w:val="left"/>
            </w:pPr>
            <w:r/>
            <w:r>
              <w:rPr>
                <w:rFonts w:eastAsia="微软雅黑"/>
                <w:b/>
                <w:color w:val="17365D"/>
                <w:sz w:val="22"/>
              </w:rPr>
              <w:t>合作生态</w:t>
              <w:br/>
            </w:r>
            <w:r>
              <w:rPr>
                <w:rFonts w:eastAsia="微软雅黑"/>
                <w:color w:val="243447"/>
                <w:sz w:val="19"/>
              </w:rPr>
              <w:t>连接学校、机构、行业组织、专家和企业资源，提升项目协同能力。</w:t>
            </w:r>
          </w:p>
        </w:tc>
      </w:tr>
      <w:tr>
        <w:tc>
          <w:tcPr>
            <w:tcW w:type="dxa" w:w="5040"/>
            <w:shd w:fill="D9EAF7"/>
            <w:tcMar>
              <w:top w:w="130" w:type="dxa"/>
              <w:start w:w="150" w:type="dxa"/>
              <w:bottom w:w="130" w:type="dxa"/>
              <w:end w:w="150" w:type="dxa"/>
            </w:tcMar>
          </w:tcPr>
          <w:p>
            <w:pPr>
              <w:jc w:val="left"/>
            </w:pPr>
            <w:r/>
            <w:r>
              <w:rPr>
                <w:rFonts w:eastAsia="微软雅黑"/>
                <w:b/>
                <w:color w:val="17365D"/>
                <w:sz w:val="22"/>
              </w:rPr>
              <w:t>合规与透明</w:t>
              <w:br/>
            </w:r>
            <w:r>
              <w:rPr>
                <w:rFonts w:eastAsia="微软雅黑"/>
                <w:color w:val="243447"/>
                <w:sz w:val="19"/>
              </w:rPr>
              <w:t>明确不承诺录取、签证、就业、薪资、移民或执业结果，保护学生与合作方权益。</w:t>
            </w:r>
          </w:p>
        </w:tc>
        <w:tc>
          <w:tcPr>
            <w:tcW w:type="dxa" w:w="5040"/>
          </w:tcPr>
          <w:p/>
        </w:tc>
      </w:tr>
    </w:tbl>
    <w:p/>
    <w:p>
      <w:pPr>
        <w:pStyle w:val="Heading2"/>
      </w:pPr>
      <w:r>
        <w:t>11.1 NTP的差异化价值</w:t>
      </w:r>
    </w:p>
    <w:p>
      <w:pPr>
        <w:pStyle w:val="QuoteBox"/>
      </w:pPr>
      <w:r>
        <w:t>普通留学服务往往以申请和入学为终点；NTP则以护理人才长期成长为主线，把教育路径、执业资格认知、学历提升、全球资讯和持续资源支持连接起来。其核心价值不是“保证一个结果”，而是“提供一套更清晰的路径、一组更可靠的信息渠道和一个能够持续连接资源的平台”。</w:t>
      </w:r>
    </w:p>
    <w:p>
      <w:r>
        <w:br w:type="page"/>
      </w:r>
    </w:p>
    <w:p>
      <w:pPr>
        <w:pStyle w:val="Heading1"/>
      </w:pPr>
      <w:r>
        <w:t>第十二章  合规原则与服务边界</w:t>
      </w:r>
    </w:p>
    <w:p>
      <w:pPr>
        <w:pStyle w:val="Heading2"/>
      </w:pPr>
      <w:r>
        <w:t>12.1 基本原则</w:t>
      </w:r>
    </w:p>
    <w:p>
      <w:pPr>
        <w:pStyle w:val="ListBullet"/>
      </w:pPr>
      <w:r>
        <w:t>依法合规：遵守项目涉及国家和地区的教育、广告、隐私、劳动、移民及职业监管规定；</w:t>
      </w:r>
    </w:p>
    <w:p>
      <w:pPr>
        <w:pStyle w:val="ListBullet"/>
      </w:pPr>
      <w:r>
        <w:t>真实透明：不夸大项目效果，不隐瞒条件、费用、风险与不确定性；</w:t>
      </w:r>
    </w:p>
    <w:p>
      <w:pPr>
        <w:pStyle w:val="ListBullet"/>
      </w:pPr>
      <w:r>
        <w:t>学生自主：学生根据官方要求和个人情况独立作出申请、学习、执业与职业选择；</w:t>
      </w:r>
    </w:p>
    <w:p>
      <w:pPr>
        <w:pStyle w:val="ListBullet"/>
      </w:pPr>
      <w:r>
        <w:t>专业分工：需要法律、移民、税务、执业或就业专业意见时，应咨询相应持牌人士或主管机构；</w:t>
      </w:r>
    </w:p>
    <w:p>
      <w:pPr>
        <w:pStyle w:val="ListBullet"/>
      </w:pPr>
      <w:r>
        <w:t>信息边界：平台提供公开信息整理、教育咨询和资源连接，不替代监管机构、学校或雇主决定。</w:t>
      </w:r>
    </w:p>
    <w:p>
      <w:pPr>
        <w:pStyle w:val="Heading2"/>
      </w:pPr>
      <w:r>
        <w:t>12.2 不作出的承诺</w:t>
      </w:r>
    </w:p>
    <w:tbl>
      <w:tblPr>
        <w:tblW w:type="auto" w:w="0"/>
        <w:jc w:val="center"/>
        <w:tblLook w:firstColumn="1" w:firstRow="1" w:lastColumn="0" w:lastRow="0" w:noHBand="0" w:noVBand="1" w:val="04A0"/>
      </w:tblPr>
      <w:tblGrid>
        <w:gridCol w:w="5040"/>
        <w:gridCol w:w="5040"/>
      </w:tblGrid>
      <w:tr>
        <w:trPr>
          <w:tblHeader w:val="true"/>
        </w:trPr>
        <w:tc>
          <w:tcPr>
            <w:tcW w:type="dxa" w:w="5040"/>
            <w:shd w:fill="17365D"/>
            <w:vAlign w:val="center"/>
            <w:tcMar>
              <w:top w:w="90" w:type="dxa"/>
              <w:start w:w="120" w:type="dxa"/>
              <w:bottom w:w="90" w:type="dxa"/>
              <w:end w:w="120" w:type="dxa"/>
            </w:tcMar>
          </w:tcPr>
          <w:p>
            <w:pPr>
              <w:jc w:val="center"/>
            </w:pPr>
            <w:r/>
            <w:r>
              <w:rPr>
                <w:rFonts w:ascii="Aptos" w:hAnsi="Aptos" w:eastAsia="微软雅黑"/>
                <w:b/>
                <w:color w:val="FFFFFF"/>
                <w:sz w:val="22"/>
              </w:rPr>
              <w:t>不承诺事项</w:t>
            </w:r>
          </w:p>
        </w:tc>
        <w:tc>
          <w:tcPr>
            <w:tcW w:type="dxa" w:w="5040"/>
            <w:shd w:fill="17365D"/>
            <w:vAlign w:val="center"/>
            <w:tcMar>
              <w:top w:w="90" w:type="dxa"/>
              <w:start w:w="120" w:type="dxa"/>
              <w:bottom w:w="90" w:type="dxa"/>
              <w:end w:w="120" w:type="dxa"/>
            </w:tcMar>
          </w:tcPr>
          <w:p>
            <w:pPr>
              <w:jc w:val="center"/>
            </w:pPr>
            <w:r/>
            <w:r>
              <w:rPr>
                <w:rFonts w:ascii="Aptos" w:hAnsi="Aptos" w:eastAsia="微软雅黑"/>
                <w:b/>
                <w:color w:val="FFFFFF"/>
                <w:sz w:val="22"/>
              </w:rPr>
              <w:t>项目可以提供的支持</w:t>
            </w:r>
          </w:p>
        </w:tc>
      </w:tr>
      <w:tr>
        <w:tc>
          <w:tcPr>
            <w:tcW w:type="dxa" w:w="5040"/>
            <w:shd w:fill="D9EAF7"/>
            <w:vAlign w:val="center"/>
            <w:tcMar>
              <w:top w:w="90" w:type="dxa"/>
              <w:start w:w="120" w:type="dxa"/>
              <w:bottom w:w="90" w:type="dxa"/>
              <w:end w:w="120" w:type="dxa"/>
            </w:tcMar>
          </w:tcPr>
          <w:p>
            <w:pPr>
              <w:jc w:val="left"/>
            </w:pPr>
            <w:r/>
            <w:r>
              <w:rPr>
                <w:rFonts w:ascii="Aptos" w:hAnsi="Aptos" w:eastAsia="微软雅黑"/>
                <w:b w:val="0"/>
                <w:color w:val="243447"/>
                <w:sz w:val="19"/>
              </w:rPr>
              <w:t>不保证学校录取</w:t>
            </w:r>
          </w:p>
        </w:tc>
        <w:tc>
          <w:tcPr>
            <w:tcW w:type="dxa" w:w="5040"/>
            <w:shd w:fill="D9EAF7"/>
            <w:vAlign w:val="center"/>
            <w:tcMar>
              <w:top w:w="90" w:type="dxa"/>
              <w:start w:w="120" w:type="dxa"/>
              <w:bottom w:w="90" w:type="dxa"/>
              <w:end w:w="120" w:type="dxa"/>
            </w:tcMar>
          </w:tcPr>
          <w:p>
            <w:pPr>
              <w:jc w:val="left"/>
            </w:pPr>
            <w:r/>
            <w:r>
              <w:rPr>
                <w:rFonts w:ascii="Aptos" w:hAnsi="Aptos" w:eastAsia="微软雅黑"/>
                <w:b w:val="0"/>
                <w:color w:val="243447"/>
                <w:sz w:val="19"/>
              </w:rPr>
              <w:t>提供学校与项目公开信息、申请材料指引和流程协调</w:t>
            </w:r>
          </w:p>
        </w:tc>
      </w:tr>
      <w:tr>
        <w:tc>
          <w:tcPr>
            <w:tcW w:type="dxa" w:w="5040"/>
            <w:shd w:fill="F2F4F7"/>
            <w:vAlign w:val="center"/>
            <w:tcMar>
              <w:top w:w="90" w:type="dxa"/>
              <w:start w:w="120" w:type="dxa"/>
              <w:bottom w:w="90" w:type="dxa"/>
              <w:end w:w="120" w:type="dxa"/>
            </w:tcMar>
          </w:tcPr>
          <w:p>
            <w:pPr>
              <w:jc w:val="left"/>
            </w:pPr>
            <w:r/>
            <w:r>
              <w:rPr>
                <w:rFonts w:ascii="Aptos" w:hAnsi="Aptos" w:eastAsia="微软雅黑"/>
                <w:b w:val="0"/>
                <w:color w:val="243447"/>
                <w:sz w:val="19"/>
              </w:rPr>
              <w:t>不保证签证审批</w:t>
            </w:r>
          </w:p>
        </w:tc>
        <w:tc>
          <w:tcPr>
            <w:tcW w:type="dxa" w:w="5040"/>
            <w:shd w:fill="F2F4F7"/>
            <w:vAlign w:val="center"/>
            <w:tcMar>
              <w:top w:w="90" w:type="dxa"/>
              <w:start w:w="120" w:type="dxa"/>
              <w:bottom w:w="90" w:type="dxa"/>
              <w:end w:w="120" w:type="dxa"/>
            </w:tcMar>
          </w:tcPr>
          <w:p>
            <w:pPr>
              <w:jc w:val="left"/>
            </w:pPr>
            <w:r/>
            <w:r>
              <w:rPr>
                <w:rFonts w:ascii="Aptos" w:hAnsi="Aptos" w:eastAsia="微软雅黑"/>
                <w:b w:val="0"/>
                <w:color w:val="243447"/>
                <w:sz w:val="19"/>
              </w:rPr>
              <w:t>提供一般性流程信息，具体以政府部门和专业人士意见为准</w:t>
            </w:r>
          </w:p>
        </w:tc>
      </w:tr>
      <w:tr>
        <w:tc>
          <w:tcPr>
            <w:tcW w:type="dxa" w:w="5040"/>
            <w:shd w:fill="D9EAF7"/>
            <w:vAlign w:val="center"/>
            <w:tcMar>
              <w:top w:w="90" w:type="dxa"/>
              <w:start w:w="120" w:type="dxa"/>
              <w:bottom w:w="90" w:type="dxa"/>
              <w:end w:w="120" w:type="dxa"/>
            </w:tcMar>
          </w:tcPr>
          <w:p>
            <w:pPr>
              <w:jc w:val="left"/>
            </w:pPr>
            <w:r/>
            <w:r>
              <w:rPr>
                <w:rFonts w:ascii="Aptos" w:hAnsi="Aptos" w:eastAsia="微软雅黑"/>
                <w:b w:val="0"/>
                <w:color w:val="243447"/>
                <w:sz w:val="19"/>
              </w:rPr>
              <w:t>不保证通过NCLEX或取得执照</w:t>
            </w:r>
          </w:p>
        </w:tc>
        <w:tc>
          <w:tcPr>
            <w:tcW w:type="dxa" w:w="5040"/>
            <w:shd w:fill="D9EAF7"/>
            <w:vAlign w:val="center"/>
            <w:tcMar>
              <w:top w:w="90" w:type="dxa"/>
              <w:start w:w="120" w:type="dxa"/>
              <w:bottom w:w="90" w:type="dxa"/>
              <w:end w:w="120" w:type="dxa"/>
            </w:tcMar>
          </w:tcPr>
          <w:p>
            <w:pPr>
              <w:jc w:val="left"/>
            </w:pPr>
            <w:r/>
            <w:r>
              <w:rPr>
                <w:rFonts w:ascii="Aptos" w:hAnsi="Aptos" w:eastAsia="微软雅黑"/>
                <w:b w:val="0"/>
                <w:color w:val="243447"/>
                <w:sz w:val="19"/>
              </w:rPr>
              <w:t>提供考试与注册公开信息、学习规划和资源指引</w:t>
            </w:r>
          </w:p>
        </w:tc>
      </w:tr>
      <w:tr>
        <w:tc>
          <w:tcPr>
            <w:tcW w:type="dxa" w:w="5040"/>
            <w:shd w:fill="F2F4F7"/>
            <w:vAlign w:val="center"/>
            <w:tcMar>
              <w:top w:w="90" w:type="dxa"/>
              <w:start w:w="120" w:type="dxa"/>
              <w:bottom w:w="90" w:type="dxa"/>
              <w:end w:w="120" w:type="dxa"/>
            </w:tcMar>
          </w:tcPr>
          <w:p>
            <w:pPr>
              <w:jc w:val="left"/>
            </w:pPr>
            <w:r/>
            <w:r>
              <w:rPr>
                <w:rFonts w:ascii="Aptos" w:hAnsi="Aptos" w:eastAsia="微软雅黑"/>
                <w:b w:val="0"/>
                <w:color w:val="243447"/>
                <w:sz w:val="19"/>
              </w:rPr>
              <w:t>不保证就业、岗位或薪资</w:t>
            </w:r>
          </w:p>
        </w:tc>
        <w:tc>
          <w:tcPr>
            <w:tcW w:type="dxa" w:w="5040"/>
            <w:shd w:fill="F2F4F7"/>
            <w:vAlign w:val="center"/>
            <w:tcMar>
              <w:top w:w="90" w:type="dxa"/>
              <w:start w:w="120" w:type="dxa"/>
              <w:bottom w:w="90" w:type="dxa"/>
              <w:end w:w="120" w:type="dxa"/>
            </w:tcMar>
          </w:tcPr>
          <w:p>
            <w:pPr>
              <w:jc w:val="left"/>
            </w:pPr>
            <w:r/>
            <w:r>
              <w:rPr>
                <w:rFonts w:ascii="Aptos" w:hAnsi="Aptos" w:eastAsia="微软雅黑"/>
                <w:b w:val="0"/>
                <w:color w:val="243447"/>
                <w:sz w:val="19"/>
              </w:rPr>
              <w:t>提供行业资讯、职业发展信息、通用能力提升与资源连接</w:t>
            </w:r>
          </w:p>
        </w:tc>
      </w:tr>
      <w:tr>
        <w:tc>
          <w:tcPr>
            <w:tcW w:type="dxa" w:w="5040"/>
            <w:shd w:fill="D9EAF7"/>
            <w:vAlign w:val="center"/>
            <w:tcMar>
              <w:top w:w="90" w:type="dxa"/>
              <w:start w:w="120" w:type="dxa"/>
              <w:bottom w:w="90" w:type="dxa"/>
              <w:end w:w="120" w:type="dxa"/>
            </w:tcMar>
          </w:tcPr>
          <w:p>
            <w:pPr>
              <w:jc w:val="left"/>
            </w:pPr>
            <w:r/>
            <w:r>
              <w:rPr>
                <w:rFonts w:ascii="Aptos" w:hAnsi="Aptos" w:eastAsia="微软雅黑"/>
                <w:b w:val="0"/>
                <w:color w:val="243447"/>
                <w:sz w:val="19"/>
              </w:rPr>
              <w:t>不提供移民服务或移民承诺</w:t>
            </w:r>
          </w:p>
        </w:tc>
        <w:tc>
          <w:tcPr>
            <w:tcW w:type="dxa" w:w="5040"/>
            <w:shd w:fill="D9EAF7"/>
            <w:vAlign w:val="center"/>
            <w:tcMar>
              <w:top w:w="90" w:type="dxa"/>
              <w:start w:w="120" w:type="dxa"/>
              <w:bottom w:w="90" w:type="dxa"/>
              <w:end w:w="120" w:type="dxa"/>
            </w:tcMar>
          </w:tcPr>
          <w:p>
            <w:pPr>
              <w:jc w:val="left"/>
            </w:pPr>
            <w:r/>
            <w:r>
              <w:rPr>
                <w:rFonts w:ascii="Aptos" w:hAnsi="Aptos" w:eastAsia="微软雅黑"/>
                <w:b w:val="0"/>
                <w:color w:val="243447"/>
                <w:sz w:val="19"/>
              </w:rPr>
              <w:t>涉及移民事项应咨询持牌律师或有权专业人士</w:t>
            </w:r>
          </w:p>
        </w:tc>
      </w:tr>
      <w:tr>
        <w:tc>
          <w:tcPr>
            <w:tcW w:type="dxa" w:w="5040"/>
            <w:shd w:fill="F2F4F7"/>
            <w:vAlign w:val="center"/>
            <w:tcMar>
              <w:top w:w="90" w:type="dxa"/>
              <w:start w:w="120" w:type="dxa"/>
              <w:bottom w:w="90" w:type="dxa"/>
              <w:end w:w="120" w:type="dxa"/>
            </w:tcMar>
          </w:tcPr>
          <w:p>
            <w:pPr>
              <w:jc w:val="left"/>
            </w:pPr>
            <w:r/>
            <w:r>
              <w:rPr>
                <w:rFonts w:ascii="Aptos" w:hAnsi="Aptos" w:eastAsia="微软雅黑"/>
                <w:b w:val="0"/>
                <w:color w:val="243447"/>
                <w:sz w:val="19"/>
              </w:rPr>
              <w:t>不保证其他国家资格转换</w:t>
            </w:r>
          </w:p>
        </w:tc>
        <w:tc>
          <w:tcPr>
            <w:tcW w:type="dxa" w:w="5040"/>
            <w:shd w:fill="F2F4F7"/>
            <w:vAlign w:val="center"/>
            <w:tcMar>
              <w:top w:w="90" w:type="dxa"/>
              <w:start w:w="120" w:type="dxa"/>
              <w:bottom w:w="90" w:type="dxa"/>
              <w:end w:w="120" w:type="dxa"/>
            </w:tcMar>
          </w:tcPr>
          <w:p>
            <w:pPr>
              <w:jc w:val="left"/>
            </w:pPr>
            <w:r/>
            <w:r>
              <w:rPr>
                <w:rFonts w:ascii="Aptos" w:hAnsi="Aptos" w:eastAsia="微软雅黑"/>
                <w:b w:val="0"/>
                <w:color w:val="243447"/>
                <w:sz w:val="19"/>
              </w:rPr>
              <w:t>提供官方机构信息索引和一般性路径参考</w:t>
            </w:r>
          </w:p>
        </w:tc>
      </w:tr>
    </w:tbl>
    <w:p>
      <w:pPr>
        <w:pStyle w:val="Heading2"/>
      </w:pPr>
      <w:r>
        <w:t>12.3 对外统一表述</w:t>
      </w:r>
    </w:p>
    <w:p>
      <w:r>
        <w:t>建议统一使用“全球学术与职业发展资源平台”“职业发展信息支持”“国际资源连接”“行业资讯与路径参考”“实习与实践资源信息”等表述，避免使用“保证就业”“安排工作”“移民通道”“高薪就业”“全球执照通用”等可能造成误解或合规风险的表述。</w:t>
      </w:r>
    </w:p>
    <w:p>
      <w:r>
        <w:br w:type="page"/>
      </w:r>
    </w:p>
    <w:p>
      <w:pPr>
        <w:pStyle w:val="Heading1"/>
      </w:pPr>
      <w:r>
        <w:t>第十三章  分阶段实施与长期发展规划</w:t>
      </w:r>
    </w:p>
    <w:p>
      <w:pPr>
        <w:pStyle w:val="Heading2"/>
      </w:pPr>
      <w:r>
        <w:t>13.1 第一阶段：项目标准化</w:t>
      </w:r>
    </w:p>
    <w:p>
      <w:pPr>
        <w:pStyle w:val="ListBullet"/>
      </w:pPr>
      <w:r>
        <w:t>完善项目白皮书、招生合作手册、学生说明书和合作协议；</w:t>
      </w:r>
    </w:p>
    <w:p>
      <w:pPr>
        <w:pStyle w:val="ListBullet"/>
      </w:pPr>
      <w:r>
        <w:t>明确课程、院校、服务、收费与合规边界；</w:t>
      </w:r>
    </w:p>
    <w:p>
      <w:pPr>
        <w:pStyle w:val="ListBullet"/>
      </w:pPr>
      <w:r>
        <w:t>建立学生档案、进度管理、质量反馈和风险提示机制；</w:t>
      </w:r>
    </w:p>
    <w:p>
      <w:pPr>
        <w:pStyle w:val="ListBullet"/>
      </w:pPr>
      <w:r>
        <w:t>形成护理路径、资格信息和学生支持的基础资源库。</w:t>
      </w:r>
    </w:p>
    <w:p>
      <w:pPr>
        <w:pStyle w:val="Heading2"/>
      </w:pPr>
      <w:r>
        <w:t>13.2 第二阶段：合作网络建设</w:t>
      </w:r>
    </w:p>
    <w:p>
      <w:pPr>
        <w:pStyle w:val="ListBullet"/>
      </w:pPr>
      <w:r>
        <w:t>拓展社区大学、职业院校及护理教育合作资源；</w:t>
      </w:r>
    </w:p>
    <w:p>
      <w:pPr>
        <w:pStyle w:val="ListBullet"/>
      </w:pPr>
      <w:r>
        <w:t>连接护理、医疗健康、养老、康复等行业组织和专家；</w:t>
      </w:r>
    </w:p>
    <w:p>
      <w:pPr>
        <w:pStyle w:val="ListBullet"/>
      </w:pPr>
      <w:r>
        <w:t>建立导师、校友和合作伙伴分享机制；</w:t>
      </w:r>
    </w:p>
    <w:p>
      <w:pPr>
        <w:pStyle w:val="ListBullet"/>
      </w:pPr>
      <w:r>
        <w:t>开展国际护理教育论坛、线上讲座和专题交流。</w:t>
      </w:r>
    </w:p>
    <w:p>
      <w:pPr>
        <w:pStyle w:val="Heading2"/>
      </w:pPr>
      <w:r>
        <w:t>13.3 第三阶段：数字平台建设</w:t>
      </w:r>
    </w:p>
    <w:p>
      <w:pPr>
        <w:pStyle w:val="ListBullet"/>
      </w:pPr>
      <w:r>
        <w:t>上线学生中心、院校信息、资格信息、行业资讯和活动资源；</w:t>
      </w:r>
    </w:p>
    <w:p>
      <w:pPr>
        <w:pStyle w:val="ListBullet"/>
      </w:pPr>
      <w:r>
        <w:t>建立信息来源、审核、更新、纠错和风险提示机制；</w:t>
      </w:r>
    </w:p>
    <w:p>
      <w:pPr>
        <w:pStyle w:val="ListBullet"/>
      </w:pPr>
      <w:r>
        <w:t>逐步形成多国家、多地区护理教育与职业资格信息地图；</w:t>
      </w:r>
    </w:p>
    <w:p>
      <w:pPr>
        <w:pStyle w:val="ListBullet"/>
      </w:pPr>
      <w:r>
        <w:t>探索AI辅助检索、学习规划和信息比较功能。</w:t>
      </w:r>
    </w:p>
    <w:p>
      <w:pPr>
        <w:pStyle w:val="Heading2"/>
      </w:pPr>
      <w:r>
        <w:t>13.4 长期愿景</w:t>
      </w:r>
    </w:p>
    <w:p>
      <w:r>
        <w:t>以NTP为示范项目，推动GCCA形成可复制、可扩展、可持续的国际职业人才培养模式，并逐步拓展至医疗辅助、智能制造、信息技术、人工智能、新能源、商业管理、酒店旅游等应用型专业。</w:t>
      </w:r>
    </w:p>
    <w:p>
      <w:pPr>
        <w:pStyle w:val="QuoteBox"/>
      </w:pPr>
      <w:r>
        <w:t>NTP的长远目标，不是建立一个单一招生项目，而是建设一条可持续的人才成长路径、一套可信赖的国际资源体系和一个连接教育与世界的平台。</w:t>
      </w:r>
    </w:p>
    <w:p>
      <w:r>
        <w:br w:type="page"/>
      </w:r>
    </w:p>
    <w:p>
      <w:pPr>
        <w:pStyle w:val="Heading1"/>
      </w:pPr>
      <w:r>
        <w:t>结语</w:t>
      </w:r>
    </w:p>
    <w:p>
      <w:pPr>
        <w:spacing w:before="600"/>
        <w:jc w:val="center"/>
      </w:pPr>
      <w:r>
        <w:rPr>
          <w:b/>
          <w:color w:val="17365D"/>
          <w:sz w:val="34"/>
        </w:rPr>
        <w:t>护理，不仅是一份职业，更是一项守护生命的事业。</w:t>
      </w:r>
    </w:p>
    <w:p>
      <w:pPr>
        <w:spacing w:before="360"/>
        <w:jc w:val="center"/>
      </w:pPr>
      <w:r>
        <w:rPr>
          <w:b/>
          <w:color w:val="1F4E78"/>
          <w:sz w:val="30"/>
        </w:rPr>
        <w:t>教育连接世界，技能创造未来，资源赋能成长。</w:t>
      </w:r>
    </w:p>
    <w:p>
      <w:pPr>
        <w:spacing w:before="440"/>
      </w:pPr>
      <w:r>
        <w:rPr>
          <w:sz w:val="24"/>
        </w:rPr>
        <w:t>GCCA希望通过NTP项目，把国际教育、护理专业成长、继续深造与全球资源连接融为一体，为更多青年提供清晰、规范、多元和可持续的发展路径。我们不以承诺结果代替学生成长，而是以教育质量、真实信息、资源连接和长期支持，帮助学生看见更广阔的世界，并以自己的能力走向未来。</w:t>
      </w:r>
    </w:p>
    <w:tbl>
      <w:tblPr>
        <w:tblW w:type="auto" w:w="0"/>
        <w:jc w:val="center"/>
        <w:tblLook w:firstColumn="1" w:firstRow="1" w:lastColumn="0" w:lastRow="0" w:noHBand="0" w:noVBand="1" w:val="04A0"/>
      </w:tblPr>
      <w:tblGrid>
        <w:gridCol w:w="10080"/>
      </w:tblGrid>
      <w:tr>
        <w:tc>
          <w:tcPr>
            <w:tcW w:type="dxa" w:w="10080"/>
            <w:shd w:fill="1F4E78"/>
            <w:vAlign w:val="center"/>
            <w:tcMar>
              <w:top w:w="90" w:type="dxa"/>
              <w:start w:w="120" w:type="dxa"/>
              <w:bottom w:w="90" w:type="dxa"/>
              <w:end w:w="120" w:type="dxa"/>
            </w:tcMar>
          </w:tcPr>
          <w:p>
            <w:pPr>
              <w:jc w:val="center"/>
            </w:pPr>
            <w:r/>
            <w:r>
              <w:rPr>
                <w:rFonts w:ascii="Aptos" w:hAnsi="Aptos" w:eastAsia="微软雅黑"/>
                <w:b/>
                <w:color w:val="FFFFFF"/>
                <w:sz w:val="28"/>
              </w:rPr>
              <w:t>真正有价值的国际教育，不只是帮助学生进入一所学校，更是帮助学生连接一个世界。</w:t>
            </w:r>
          </w:p>
        </w:tc>
      </w:tr>
    </w:tbl>
    <w:p>
      <w:pPr>
        <w:spacing w:before="560"/>
        <w:jc w:val="center"/>
      </w:pPr>
      <w:r>
        <w:rPr>
          <w:b/>
        </w:rPr>
        <w:t>GLOBAL COMMUNITY COLLEGE ALLIANCE (GCCA)</w:t>
        <w:br/>
        <w:t>中美国际护理英才计划（NTP）</w:t>
      </w:r>
    </w:p>
    <w:sectPr w:rsidR="00FC693F" w:rsidRPr="0006063C" w:rsidSect="00034616">
      <w:headerReference w:type="default" r:id="rId9"/>
      <w:footerReference w:type="default" r:id="rId10"/>
      <w:pgSz w:w="12240" w:h="15840"/>
      <w:pgMar w:top="1037" w:right="1080" w:bottom="979"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color w:val="6B7280"/>
        <w:sz w:val="16"/>
      </w:rPr>
      <w:t>GLOBAL COMMUNITY COLLEGE ALLIANCE  |  NTP WHITE PAPER</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Aptos" w:hAnsi="Aptos" w:eastAsia="微软雅黑"/>
      <w:color w:val="243447"/>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120"/>
      <w:outlineLvl w:val="0"/>
    </w:pPr>
    <w:rPr>
      <w:rFonts w:asciiTheme="majorHAnsi" w:eastAsiaTheme="majorEastAsia" w:hAnsiTheme="majorHAnsi" w:cstheme="majorBidi" w:ascii="Aptos Display" w:hAnsi="Aptos Display" w:eastAsia="微软雅黑"/>
      <w:b/>
      <w:bCs/>
      <w:color w:val="1F4E78"/>
      <w:sz w:val="40"/>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Aptos Display" w:hAnsi="Aptos Display" w:eastAsia="微软雅黑"/>
      <w:b/>
      <w:bCs/>
      <w:color w:val="17365D"/>
      <w:sz w:val="28"/>
      <w:szCs w:val="26"/>
    </w:rPr>
  </w:style>
  <w:style w:type="paragraph" w:styleId="Heading3">
    <w:name w:val="heading 3"/>
    <w:basedOn w:val="Normal"/>
    <w:next w:val="Normal"/>
    <w:link w:val="Heading3Char"/>
    <w:uiPriority w:val="9"/>
    <w:unhideWhenUsed/>
    <w:qFormat/>
    <w:rsid w:val="00FC693F"/>
    <w:pPr>
      <w:keepNext/>
      <w:keepLines/>
      <w:spacing w:before="200" w:after="120"/>
      <w:outlineLvl w:val="2"/>
    </w:pPr>
    <w:rPr>
      <w:rFonts w:asciiTheme="majorHAnsi" w:eastAsiaTheme="majorEastAsia" w:hAnsiTheme="majorHAnsi" w:cstheme="majorBidi" w:ascii="Aptos Display" w:hAnsi="Aptos Display" w:eastAsia="微软雅黑"/>
      <w:b/>
      <w:bCs/>
      <w:color w:val="1F4E78"/>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20" w:line="240" w:lineRule="auto" w:before="200"/>
      <w:contextualSpacing/>
    </w:pPr>
    <w:rPr>
      <w:rFonts w:asciiTheme="majorHAnsi" w:eastAsiaTheme="majorEastAsia" w:hAnsiTheme="majorHAnsi" w:cstheme="majorBidi" w:ascii="Aptos Display" w:hAnsi="Aptos Display" w:eastAsia="微软雅黑"/>
      <w:b/>
      <w:color w:val="17365D"/>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QuoteBox">
    <w:name w:val="QuoteBox"/>
    <w:pPr>
      <w:spacing w:before="160" w:after="160"/>
      <w:ind w:left="360" w:right="360"/>
    </w:pPr>
    <w:rPr>
      <w:rFonts w:ascii="Aptos" w:hAnsi="Aptos" w:eastAsia="微软雅黑"/>
      <w:b/>
      <w:color w:val="17365D"/>
      <w:sz w:val="24"/>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GCCA NTP国际护理人才项目白皮书</dc:title>
  <dc:subject>中美国际护理英才计划战略、培养路径、全球资源平台与合规体系</dc:subject>
  <dc:creator>Global Community College Alliance (GCCA)</dc:creator>
  <cp:keywords>GCCA,NTP,护理,社区大学,RN,全球职业发展,资源平台</cp:keywords>
  <dc:description>generated by python-docx</dc:description>
  <cp:lastModifiedBy/>
  <cp:revision>1</cp:revision>
  <dcterms:created xsi:type="dcterms:W3CDTF">2013-12-23T23:15:00Z</dcterms:created>
  <dcterms:modified xsi:type="dcterms:W3CDTF">2013-12-23T23:15:00Z</dcterms:modified>
  <cp:category/>
</cp:coreProperties>
</file>